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Override PartName="/word/intelligence2.xml" ContentType="application/vnd.ms-office.intelligence2+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C2B5E" w:rsidR="009C2B5E" w:rsidP="00525A93" w:rsidRDefault="009C2B5E" w14:paraId="70365AD0" w14:textId="77777777">
      <w:pPr>
        <w:spacing w:line="240" w:lineRule="auto"/>
        <w:jc w:val="center"/>
        <w:rPr>
          <w:rFonts w:ascii="Times New Roman" w:hAnsi="Times New Roman" w:eastAsia="Times New Roman" w:cs="Times New Roman"/>
          <w:b w:val="1"/>
          <w:bCs w:val="1"/>
          <w:sz w:val="24"/>
          <w:szCs w:val="24"/>
        </w:rPr>
      </w:pPr>
      <w:r w:rsidRPr="00525A93" w:rsidR="009C2B5E">
        <w:rPr>
          <w:rFonts w:ascii="Times New Roman" w:hAnsi="Times New Roman" w:eastAsia="Times New Roman" w:cs="Times New Roman"/>
          <w:b w:val="1"/>
          <w:bCs w:val="1"/>
          <w:sz w:val="24"/>
          <w:szCs w:val="24"/>
        </w:rPr>
        <w:t>PLAN DE TRANSICIÓN ENERGÉTICA JUSTA</w:t>
      </w:r>
    </w:p>
    <w:p w:rsidRPr="009C2B5E" w:rsidR="009C2B5E" w:rsidP="00525A93" w:rsidRDefault="009C2B5E" w14:paraId="7046E1CF" w14:textId="77777777">
      <w:pPr>
        <w:spacing w:line="240" w:lineRule="auto"/>
        <w:jc w:val="center"/>
        <w:rPr>
          <w:rFonts w:ascii="Times New Roman" w:hAnsi="Times New Roman" w:eastAsia="Times New Roman" w:cs="Times New Roman"/>
          <w:b w:val="1"/>
          <w:bCs w:val="1"/>
          <w:sz w:val="24"/>
          <w:szCs w:val="24"/>
        </w:rPr>
      </w:pPr>
      <w:r w:rsidRPr="00525A93" w:rsidR="009C2B5E">
        <w:rPr>
          <w:rFonts w:ascii="Times New Roman" w:hAnsi="Times New Roman" w:eastAsia="Times New Roman" w:cs="Times New Roman"/>
          <w:b w:val="1"/>
          <w:bCs w:val="1"/>
          <w:sz w:val="24"/>
          <w:szCs w:val="24"/>
        </w:rPr>
        <w:t>Providencia y Santa Catalina Islas</w:t>
      </w:r>
    </w:p>
    <w:p w:rsidR="009C2B5E" w:rsidP="00525A93" w:rsidRDefault="009C2B5E" w14:paraId="6A51B2F7" w14:textId="77777777">
      <w:pPr>
        <w:spacing w:line="240" w:lineRule="auto"/>
        <w:jc w:val="center"/>
        <w:rPr>
          <w:rFonts w:ascii="Times New Roman" w:hAnsi="Times New Roman" w:eastAsia="Times New Roman" w:cs="Times New Roman"/>
          <w:b w:val="1"/>
          <w:bCs w:val="1"/>
          <w:sz w:val="24"/>
          <w:szCs w:val="24"/>
        </w:rPr>
      </w:pPr>
      <w:r w:rsidRPr="00525A93" w:rsidR="009C2B5E">
        <w:rPr>
          <w:rFonts w:ascii="Times New Roman" w:hAnsi="Times New Roman" w:eastAsia="Times New Roman" w:cs="Times New Roman"/>
          <w:b w:val="1"/>
          <w:bCs w:val="1"/>
          <w:sz w:val="24"/>
          <w:szCs w:val="24"/>
        </w:rPr>
        <w:t>Hoja de Ruta 2025 – 2040</w:t>
      </w:r>
    </w:p>
    <w:p w:rsidRPr="009C2B5E" w:rsidR="009C2B5E" w:rsidP="00525A93" w:rsidRDefault="009C2B5E" w14:paraId="67AE7E7D" w14:textId="77777777">
      <w:pPr>
        <w:spacing w:line="360" w:lineRule="auto"/>
        <w:jc w:val="center"/>
        <w:rPr>
          <w:rFonts w:ascii="Times New Roman" w:hAnsi="Times New Roman" w:eastAsia="Times New Roman" w:cs="Times New Roman"/>
          <w:b w:val="1"/>
          <w:bCs w:val="1"/>
          <w:sz w:val="24"/>
          <w:szCs w:val="24"/>
        </w:rPr>
      </w:pPr>
    </w:p>
    <w:p w:rsidRPr="009C2B5E" w:rsidR="009C2B5E" w:rsidP="00525A93" w:rsidRDefault="009C2B5E" w14:paraId="5B4B95CE" w14:textId="77777777">
      <w:pPr>
        <w:spacing w:line="240" w:lineRule="auto"/>
        <w:jc w:val="center"/>
        <w:rPr>
          <w:rFonts w:ascii="Times New Roman" w:hAnsi="Times New Roman" w:eastAsia="Times New Roman" w:cs="Times New Roman"/>
          <w:b w:val="1"/>
          <w:bCs w:val="1"/>
          <w:sz w:val="24"/>
          <w:szCs w:val="24"/>
        </w:rPr>
      </w:pPr>
      <w:r w:rsidRPr="00525A93" w:rsidR="009C2B5E">
        <w:rPr>
          <w:rFonts w:ascii="Times New Roman" w:hAnsi="Times New Roman" w:eastAsia="Times New Roman" w:cs="Times New Roman"/>
          <w:b w:val="1"/>
          <w:bCs w:val="1"/>
          <w:sz w:val="24"/>
          <w:szCs w:val="24"/>
        </w:rPr>
        <w:t>METODOLOGÍA SOCIAL PARA LA IMPLEMENTACIÓN PARTICIPATIVA</w:t>
      </w:r>
    </w:p>
    <w:p w:rsidRPr="009C2B5E" w:rsidR="009C2B5E" w:rsidP="00525A93" w:rsidRDefault="009C2B5E" w14:paraId="1F695FBC" w14:textId="77777777">
      <w:pPr>
        <w:spacing w:line="240" w:lineRule="auto"/>
        <w:jc w:val="center"/>
        <w:rPr>
          <w:rFonts w:ascii="Times New Roman" w:hAnsi="Times New Roman" w:eastAsia="Times New Roman" w:cs="Times New Roman"/>
          <w:b w:val="1"/>
          <w:bCs w:val="1"/>
          <w:sz w:val="24"/>
          <w:szCs w:val="24"/>
        </w:rPr>
      </w:pPr>
      <w:r w:rsidRPr="00525A93" w:rsidR="009C2B5E">
        <w:rPr>
          <w:rFonts w:ascii="Times New Roman" w:hAnsi="Times New Roman" w:eastAsia="Times New Roman" w:cs="Times New Roman"/>
          <w:b w:val="1"/>
          <w:bCs w:val="1"/>
          <w:sz w:val="24"/>
          <w:szCs w:val="24"/>
        </w:rPr>
        <w:t>Construida desde la escucha, la memoria y la autodeterminación del pueblo raizal</w:t>
      </w:r>
    </w:p>
    <w:p w:rsidR="009C2B5E" w:rsidP="00525A93" w:rsidRDefault="009C2B5E" w14:paraId="3AAA3C97" w14:textId="77777777">
      <w:pPr>
        <w:spacing w:line="240" w:lineRule="auto"/>
        <w:rPr>
          <w:rFonts w:ascii="Times New Roman" w:hAnsi="Times New Roman" w:eastAsia="Times New Roman" w:cs="Times New Roman"/>
          <w:b w:val="1"/>
          <w:bCs w:val="1"/>
          <w:sz w:val="24"/>
          <w:szCs w:val="24"/>
        </w:rPr>
      </w:pPr>
    </w:p>
    <w:p w:rsidRPr="005E400E" w:rsidR="009C2B5E" w:rsidP="00525A93" w:rsidRDefault="009C2B5E" w14:paraId="019410E1" w14:textId="321A1EBF">
      <w:pPr>
        <w:spacing w:before="240" w:beforeAutospacing="off" w:after="240" w:afterAutospacing="off" w:line="360" w:lineRule="auto"/>
        <w:jc w:val="both"/>
        <w:rPr>
          <w:rFonts w:ascii="Times New Roman" w:hAnsi="Times New Roman" w:eastAsia="Times New Roman" w:cs="Times New Roman"/>
          <w:color w:val="auto"/>
          <w:sz w:val="24"/>
          <w:szCs w:val="24"/>
        </w:rPr>
      </w:pPr>
      <w:r w:rsidRPr="00525A93" w:rsidR="6CC162B9">
        <w:rPr>
          <w:rFonts w:ascii="Times New Roman" w:hAnsi="Times New Roman" w:eastAsia="Times New Roman" w:cs="Times New Roman"/>
          <w:color w:val="auto"/>
          <w:sz w:val="24"/>
          <w:szCs w:val="24"/>
        </w:rPr>
        <w:t xml:space="preserve">El presente documento desarrolla </w:t>
      </w:r>
      <w:r w:rsidRPr="00525A93" w:rsidR="58C3B8D9">
        <w:rPr>
          <w:rFonts w:ascii="Times New Roman" w:hAnsi="Times New Roman" w:eastAsia="Times New Roman" w:cs="Times New Roman"/>
          <w:color w:val="auto"/>
          <w:sz w:val="24"/>
          <w:szCs w:val="24"/>
        </w:rPr>
        <w:t xml:space="preserve">la </w:t>
      </w:r>
      <w:r w:rsidRPr="00525A93" w:rsidR="6D7E3E55">
        <w:rPr>
          <w:rFonts w:ascii="Times New Roman" w:hAnsi="Times New Roman" w:eastAsia="Times New Roman" w:cs="Times New Roman"/>
          <w:color w:val="auto"/>
          <w:sz w:val="24"/>
          <w:szCs w:val="24"/>
        </w:rPr>
        <w:t xml:space="preserve">metodología </w:t>
      </w:r>
      <w:r w:rsidRPr="00525A93" w:rsidR="6CC162B9">
        <w:rPr>
          <w:rFonts w:ascii="Times New Roman" w:hAnsi="Times New Roman" w:eastAsia="Times New Roman" w:cs="Times New Roman"/>
          <w:color w:val="auto"/>
          <w:sz w:val="24"/>
          <w:szCs w:val="24"/>
        </w:rPr>
        <w:t>que sustenta y acompaña la Hoja de Ruta del Plan de Transición Energética Justa (PTEJ) de Providencia y Santa Catalina Islas para el período 2025–2040</w:t>
      </w:r>
      <w:r w:rsidRPr="00525A93" w:rsidR="117FFFD6">
        <w:rPr>
          <w:rFonts w:ascii="Times New Roman" w:hAnsi="Times New Roman" w:eastAsia="Times New Roman" w:cs="Times New Roman"/>
          <w:color w:val="auto"/>
          <w:sz w:val="24"/>
          <w:szCs w:val="24"/>
        </w:rPr>
        <w:t>. Metodología que propone una ruta de trabajo participativa que sitúa a la comunidad raizal en el centro de la toma de decisiones, reconociendo que los procesos de transformación energéticas solo son sost</w:t>
      </w:r>
      <w:r w:rsidRPr="00525A93" w:rsidR="4B8D2552">
        <w:rPr>
          <w:rFonts w:ascii="Times New Roman" w:hAnsi="Times New Roman" w:eastAsia="Times New Roman" w:cs="Times New Roman"/>
          <w:color w:val="auto"/>
          <w:sz w:val="24"/>
          <w:szCs w:val="24"/>
        </w:rPr>
        <w:t>enibles cuando responden a las realidades sociales, culturales y ambientales del territorio.</w:t>
      </w:r>
    </w:p>
    <w:p w:rsidRPr="005E400E" w:rsidR="009C2B5E" w:rsidP="00525A93" w:rsidRDefault="009C2B5E" w14:paraId="6C61B91D" w14:textId="5AFD75A4">
      <w:pPr>
        <w:pStyle w:val="Normal"/>
        <w:spacing w:before="240" w:beforeAutospacing="off" w:after="240" w:afterAutospacing="off" w:line="360" w:lineRule="auto"/>
        <w:jc w:val="both"/>
        <w:rPr>
          <w:rFonts w:ascii="Times New Roman" w:hAnsi="Times New Roman" w:eastAsia="Times New Roman" w:cs="Times New Roman"/>
          <w:color w:val="auto"/>
          <w:sz w:val="24"/>
          <w:szCs w:val="24"/>
        </w:rPr>
      </w:pPr>
      <w:r w:rsidRPr="00525A93" w:rsidR="4E505536">
        <w:rPr>
          <w:rFonts w:ascii="Times New Roman" w:hAnsi="Times New Roman" w:eastAsia="Times New Roman" w:cs="Times New Roman"/>
          <w:color w:val="auto"/>
          <w:sz w:val="24"/>
          <w:szCs w:val="24"/>
        </w:rPr>
        <w:t xml:space="preserve">La metodología parte de un principio fundamental: escuchar antes de proponer. Esto implica reconocer que las comunidades cuentan con conocimientos, experiencias y formas propias de organización </w:t>
      </w:r>
      <w:r w:rsidRPr="00525A93" w:rsidR="6CA69B6F">
        <w:rPr>
          <w:rFonts w:ascii="Times New Roman" w:hAnsi="Times New Roman" w:eastAsia="Times New Roman" w:cs="Times New Roman"/>
          <w:color w:val="auto"/>
          <w:sz w:val="24"/>
          <w:szCs w:val="24"/>
        </w:rPr>
        <w:t>que resultan indispensables para comprender las dinámicas energéticas del territorio y definir soluciones pertinentes.</w:t>
      </w:r>
    </w:p>
    <w:p w:rsidRPr="005E400E" w:rsidR="009C2B5E" w:rsidP="00525A93" w:rsidRDefault="009C2B5E" w14:paraId="05AE7DCC" w14:textId="3F5B42B9">
      <w:pPr>
        <w:pStyle w:val="Normal"/>
        <w:spacing w:before="240" w:beforeAutospacing="off" w:after="240" w:afterAutospacing="off" w:line="360" w:lineRule="auto"/>
        <w:jc w:val="both"/>
        <w:rPr>
          <w:rFonts w:ascii="Times New Roman" w:hAnsi="Times New Roman" w:eastAsia="Times New Roman" w:cs="Times New Roman"/>
          <w:color w:val="auto"/>
          <w:sz w:val="24"/>
          <w:szCs w:val="24"/>
        </w:rPr>
      </w:pPr>
      <w:r w:rsidRPr="00525A93" w:rsidR="6CA69B6F">
        <w:rPr>
          <w:rFonts w:ascii="Times New Roman" w:hAnsi="Times New Roman" w:eastAsia="Times New Roman" w:cs="Times New Roman"/>
          <w:color w:val="auto"/>
          <w:sz w:val="24"/>
          <w:szCs w:val="24"/>
        </w:rPr>
        <w:t xml:space="preserve">Asimismo, se entiende que las personas que viven de manera directa las consecuencias de las decisiones energéticas son quienes cuentan con mayores </w:t>
      </w:r>
      <w:r w:rsidRPr="00525A93" w:rsidR="1987C3B2">
        <w:rPr>
          <w:rFonts w:ascii="Times New Roman" w:hAnsi="Times New Roman" w:eastAsia="Times New Roman" w:cs="Times New Roman"/>
          <w:color w:val="auto"/>
          <w:sz w:val="24"/>
          <w:szCs w:val="24"/>
        </w:rPr>
        <w:t>capacidades</w:t>
      </w:r>
      <w:r w:rsidRPr="00525A93" w:rsidR="6CA69B6F">
        <w:rPr>
          <w:rFonts w:ascii="Times New Roman" w:hAnsi="Times New Roman" w:eastAsia="Times New Roman" w:cs="Times New Roman"/>
          <w:color w:val="auto"/>
          <w:sz w:val="24"/>
          <w:szCs w:val="24"/>
        </w:rPr>
        <w:t xml:space="preserve"> para participar activamente en el diseño de las </w:t>
      </w:r>
      <w:r w:rsidRPr="00525A93" w:rsidR="52CAB9D4">
        <w:rPr>
          <w:rFonts w:ascii="Times New Roman" w:hAnsi="Times New Roman" w:eastAsia="Times New Roman" w:cs="Times New Roman"/>
          <w:color w:val="auto"/>
          <w:sz w:val="24"/>
          <w:szCs w:val="24"/>
        </w:rPr>
        <w:t>alternativas</w:t>
      </w:r>
      <w:r w:rsidRPr="00525A93" w:rsidR="6CA69B6F">
        <w:rPr>
          <w:rFonts w:ascii="Times New Roman" w:hAnsi="Times New Roman" w:eastAsia="Times New Roman" w:cs="Times New Roman"/>
          <w:color w:val="auto"/>
          <w:sz w:val="24"/>
          <w:szCs w:val="24"/>
        </w:rPr>
        <w:t xml:space="preserve"> y en la definición de prioridades. En este </w:t>
      </w:r>
      <w:r w:rsidRPr="00525A93" w:rsidR="5282945C">
        <w:rPr>
          <w:rFonts w:ascii="Times New Roman" w:hAnsi="Times New Roman" w:eastAsia="Times New Roman" w:cs="Times New Roman"/>
          <w:color w:val="auto"/>
          <w:sz w:val="24"/>
          <w:szCs w:val="24"/>
        </w:rPr>
        <w:t>sentido, la participación comunitaria no se concibe como un mecanismo de validación de decisiones previamente adoptadas, sino como un proceso de construcción colectiva.</w:t>
      </w:r>
    </w:p>
    <w:p w:rsidR="5282945C" w:rsidP="00525A93" w:rsidRDefault="5282945C" w14:paraId="3557FA77" w14:textId="096FB925">
      <w:pPr>
        <w:pStyle w:val="Normal"/>
        <w:spacing w:before="240" w:beforeAutospacing="off" w:after="240" w:afterAutospacing="off" w:line="360" w:lineRule="auto"/>
        <w:jc w:val="both"/>
        <w:rPr>
          <w:rFonts w:ascii="Times New Roman" w:hAnsi="Times New Roman" w:eastAsia="Times New Roman" w:cs="Times New Roman"/>
          <w:color w:val="auto"/>
          <w:sz w:val="24"/>
          <w:szCs w:val="24"/>
        </w:rPr>
      </w:pPr>
      <w:r w:rsidRPr="00525A93" w:rsidR="5282945C">
        <w:rPr>
          <w:rFonts w:ascii="Times New Roman" w:hAnsi="Times New Roman" w:eastAsia="Times New Roman" w:cs="Times New Roman"/>
          <w:color w:val="auto"/>
          <w:sz w:val="24"/>
          <w:szCs w:val="24"/>
        </w:rPr>
        <w:t>La metodología también reconoce que las decisiones energéticas no son neutras. Estas influyen en la distribución de beneficios, responsabilidades y oportunidades dentro del territorio, por lo que result</w:t>
      </w:r>
      <w:r w:rsidRPr="00525A93" w:rsidR="5282945C">
        <w:rPr>
          <w:rFonts w:ascii="Times New Roman" w:hAnsi="Times New Roman" w:eastAsia="Times New Roman" w:cs="Times New Roman"/>
          <w:color w:val="auto"/>
          <w:sz w:val="24"/>
          <w:szCs w:val="24"/>
        </w:rPr>
        <w:t xml:space="preserve">a </w:t>
      </w:r>
      <w:r w:rsidRPr="00525A93" w:rsidR="5CA2E189">
        <w:rPr>
          <w:rFonts w:ascii="Times New Roman" w:hAnsi="Times New Roman" w:eastAsia="Times New Roman" w:cs="Times New Roman"/>
          <w:color w:val="auto"/>
          <w:sz w:val="24"/>
          <w:szCs w:val="24"/>
        </w:rPr>
        <w:t>fundamental promover mecanismos transparentes, incluyentes y equitativos de participación.</w:t>
      </w:r>
    </w:p>
    <w:p w:rsidR="5CA2E189" w:rsidP="00525A93" w:rsidRDefault="5CA2E189" w14:paraId="6D2D6352" w14:textId="5F9D0720">
      <w:pPr>
        <w:pStyle w:val="Normal"/>
        <w:spacing w:before="240" w:beforeAutospacing="off" w:after="240" w:afterAutospacing="off" w:line="360" w:lineRule="auto"/>
        <w:jc w:val="both"/>
        <w:rPr>
          <w:rFonts w:ascii="Times New Roman" w:hAnsi="Times New Roman" w:eastAsia="Times New Roman" w:cs="Times New Roman"/>
          <w:color w:val="auto"/>
          <w:sz w:val="24"/>
          <w:szCs w:val="24"/>
        </w:rPr>
      </w:pPr>
      <w:r w:rsidRPr="00525A93" w:rsidR="5CA2E189">
        <w:rPr>
          <w:rFonts w:ascii="Times New Roman" w:hAnsi="Times New Roman" w:eastAsia="Times New Roman" w:cs="Times New Roman"/>
          <w:color w:val="auto"/>
          <w:sz w:val="24"/>
          <w:szCs w:val="24"/>
        </w:rPr>
        <w:t>De manera transversal, esta propuesta incorpora los siguientes principios orientadores:</w:t>
      </w:r>
    </w:p>
    <w:p w:rsidR="23C22E41" w:rsidP="00525A93" w:rsidRDefault="23C22E41" w14:paraId="125D2283" w14:textId="0800FA28">
      <w:pPr>
        <w:pStyle w:val="Prrafodelista"/>
        <w:numPr>
          <w:ilvl w:val="0"/>
          <w:numId w:val="3"/>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Reconocimiento del conocimiento local como fuente legítima de información.</w:t>
      </w:r>
    </w:p>
    <w:p w:rsidR="23C22E41" w:rsidP="00525A93" w:rsidRDefault="23C22E41" w14:paraId="371CDB58" w14:textId="4A6CFED8">
      <w:pPr>
        <w:pStyle w:val="Prrafodelista"/>
        <w:numPr>
          <w:ilvl w:val="0"/>
          <w:numId w:val="3"/>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Participación efectiva y corresponsable de la comunidad.</w:t>
      </w:r>
    </w:p>
    <w:p w:rsidR="23C22E41" w:rsidP="00525A93" w:rsidRDefault="23C22E41" w14:paraId="49A3213B" w14:textId="7D8E19E8">
      <w:pPr>
        <w:pStyle w:val="Prrafodelista"/>
        <w:numPr>
          <w:ilvl w:val="0"/>
          <w:numId w:val="3"/>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Respeto por la identidad cultural y las formas organizativas del pueblo raizal.</w:t>
      </w:r>
    </w:p>
    <w:p w:rsidR="23C22E41" w:rsidP="00525A93" w:rsidRDefault="23C22E41" w14:paraId="749708E1" w14:textId="606D06D5">
      <w:pPr>
        <w:pStyle w:val="Prrafodelista"/>
        <w:numPr>
          <w:ilvl w:val="0"/>
          <w:numId w:val="3"/>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Inclusión de enfoques diferenciales, con especial atención a mujeres, jóvenes, personas mayores y actores productivos.</w:t>
      </w:r>
    </w:p>
    <w:p w:rsidR="23C22E41" w:rsidP="00525A93" w:rsidRDefault="23C22E41" w14:paraId="7158B2B6" w14:textId="39F17940">
      <w:pPr>
        <w:pStyle w:val="Prrafodelista"/>
        <w:numPr>
          <w:ilvl w:val="0"/>
          <w:numId w:val="3"/>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Construcción de confianza mediante procesos de diálogo permanente.</w:t>
      </w:r>
    </w:p>
    <w:p w:rsidR="23C22E41" w:rsidP="00525A93" w:rsidRDefault="23C22E41" w14:paraId="1AA3D1B3" w14:textId="6C682B8D">
      <w:pPr>
        <w:pStyle w:val="Prrafodelista"/>
        <w:numPr>
          <w:ilvl w:val="0"/>
          <w:numId w:val="3"/>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Cuidado del tejido social y reconocimiento de las experiencias derivadas del huracán IOTA.</w:t>
      </w:r>
    </w:p>
    <w:p w:rsidR="23C22E41" w:rsidP="00525A93" w:rsidRDefault="23C22E41" w14:paraId="7B3B8824" w14:textId="4495049D">
      <w:pPr>
        <w:pStyle w:val="Prrafodelista"/>
        <w:numPr>
          <w:ilvl w:val="0"/>
          <w:numId w:val="3"/>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Transparencia en la toma de decisiones y acceso oportuno a la información.</w:t>
      </w:r>
    </w:p>
    <w:p w:rsidR="23C22E41" w:rsidP="00525A93" w:rsidRDefault="23C22E41" w14:paraId="5E15753C" w14:textId="6BCC685D">
      <w:pPr>
        <w:spacing w:before="240" w:beforeAutospacing="off" w:after="180" w:afterAutospacing="off" w:line="360" w:lineRule="auto"/>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La metodología se organiza en cuatro momentos interrelacionados que permiten avanzar desde la escucha del territorio hasta la evaluación participativa del proceso.</w:t>
      </w:r>
    </w:p>
    <w:p w:rsidR="23C22E41" w:rsidP="00525A93" w:rsidRDefault="23C22E41" w14:paraId="2899AF90" w14:textId="426E40EE">
      <w:pPr>
        <w:spacing w:before="240" w:beforeAutospacing="off" w:after="180" w:afterAutospacing="off" w:line="360" w:lineRule="auto"/>
        <w:jc w:val="both"/>
        <w:rPr>
          <w:rFonts w:ascii="Times New Roman" w:hAnsi="Times New Roman" w:eastAsia="Times New Roman" w:cs="Times New Roman"/>
          <w:b w:val="1"/>
          <w:bCs w:val="1"/>
          <w:color w:val="auto"/>
          <w:sz w:val="24"/>
          <w:szCs w:val="24"/>
        </w:rPr>
      </w:pPr>
      <w:r w:rsidRPr="00525A93" w:rsidR="23C22E41">
        <w:rPr>
          <w:rFonts w:ascii="Times New Roman" w:hAnsi="Times New Roman" w:eastAsia="Times New Roman" w:cs="Times New Roman"/>
          <w:b w:val="1"/>
          <w:bCs w:val="1"/>
          <w:color w:val="auto"/>
          <w:sz w:val="24"/>
          <w:szCs w:val="24"/>
        </w:rPr>
        <w:t>Momento</w:t>
      </w:r>
      <w:r w:rsidRPr="00525A93" w:rsidR="23C22E41">
        <w:rPr>
          <w:rFonts w:ascii="Times New Roman" w:hAnsi="Times New Roman" w:eastAsia="Times New Roman" w:cs="Times New Roman"/>
          <w:b w:val="1"/>
          <w:bCs w:val="1"/>
          <w:color w:val="auto"/>
          <w:sz w:val="24"/>
          <w:szCs w:val="24"/>
        </w:rPr>
        <w:t xml:space="preserve"> I</w:t>
      </w:r>
    </w:p>
    <w:p w:rsidR="23C22E41" w:rsidP="00525A93" w:rsidRDefault="23C22E41" w14:paraId="169C4802" w14:textId="37E56600">
      <w:pPr>
        <w:spacing w:before="240" w:beforeAutospacing="off" w:after="180" w:afterAutospacing="off" w:line="360" w:lineRule="auto"/>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El primer momento tiene como propósito construir relaciones de confianza con la comunidad y desarrollar un diagnóstico social y energético desde las perspectivas, experiencias y conocimientos locales.</w:t>
      </w:r>
    </w:p>
    <w:p w:rsidR="23C22E41" w:rsidP="00525A93" w:rsidRDefault="23C22E41" w14:paraId="4578663F" w14:textId="01533B78">
      <w:pPr>
        <w:spacing w:before="240" w:beforeAutospacing="off" w:after="180" w:afterAutospacing="off" w:line="360" w:lineRule="auto"/>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Esta etapa constituye la base de todo el proceso metodológico, ya que permite comprender cómo las personas viven, utilizan y significan la energía en su vida cotidiana, así como identificar las necesidades, preocupaciones y expectativas existentes frente a la transición energética.</w:t>
      </w:r>
    </w:p>
    <w:p w:rsidR="23C22E41" w:rsidP="00525A93" w:rsidRDefault="23C22E41" w14:paraId="1F360B9B" w14:textId="408F3CBF">
      <w:pPr>
        <w:spacing w:before="240" w:beforeAutospacing="off" w:after="180" w:afterAutospacing="off" w:line="360" w:lineRule="auto"/>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Para ello, se desarrollarán espacios de encuentro con los diferentes actores del territorio, incluyendo líderes comunitarios, organizaciones sociales, pescadores artesanales, mujeres, jóvenes, personas mayores, instituciones educativas, prestadores de servicios turísticos y entidades locales.</w:t>
      </w:r>
    </w:p>
    <w:p w:rsidR="23C22E41" w:rsidP="00525A93" w:rsidRDefault="23C22E41" w14:paraId="4E7C2C0C" w14:textId="14A65DBE">
      <w:pPr>
        <w:spacing w:before="240" w:beforeAutospacing="off" w:after="180" w:afterAutospacing="off" w:line="360" w:lineRule="auto"/>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Las principales actividades de este momento incluyen:</w:t>
      </w:r>
    </w:p>
    <w:p w:rsidR="23C22E41" w:rsidP="00525A93" w:rsidRDefault="23C22E41" w14:paraId="6E22EC2F" w14:textId="5D32E2A5">
      <w:pPr>
        <w:pStyle w:val="Prrafodelista"/>
        <w:numPr>
          <w:ilvl w:val="0"/>
          <w:numId w:val="4"/>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Reuniones de acercamiento y presentación del proceso.</w:t>
      </w:r>
    </w:p>
    <w:p w:rsidR="23C22E41" w:rsidP="00525A93" w:rsidRDefault="23C22E41" w14:paraId="6469EF38" w14:textId="3F71341B">
      <w:pPr>
        <w:pStyle w:val="Prrafodelista"/>
        <w:numPr>
          <w:ilvl w:val="0"/>
          <w:numId w:val="4"/>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Entrevistas abiertas y conversaciones comunitarias.</w:t>
      </w:r>
    </w:p>
    <w:p w:rsidR="23C22E41" w:rsidP="00525A93" w:rsidRDefault="23C22E41" w14:paraId="02C6ACDC" w14:textId="44404E4E">
      <w:pPr>
        <w:pStyle w:val="Prrafodelista"/>
        <w:numPr>
          <w:ilvl w:val="0"/>
          <w:numId w:val="4"/>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Recorridos territoriales participativos.</w:t>
      </w:r>
    </w:p>
    <w:p w:rsidR="23C22E41" w:rsidP="00525A93" w:rsidRDefault="23C22E41" w14:paraId="06F875DC" w14:textId="381477E4">
      <w:pPr>
        <w:pStyle w:val="Prrafodelista"/>
        <w:numPr>
          <w:ilvl w:val="0"/>
          <w:numId w:val="4"/>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Ejercicios de cartografía social.</w:t>
      </w:r>
    </w:p>
    <w:p w:rsidR="23C22E41" w:rsidP="00525A93" w:rsidRDefault="23C22E41" w14:paraId="009859CC" w14:textId="4DB4A896">
      <w:pPr>
        <w:pStyle w:val="Prrafodelista"/>
        <w:numPr>
          <w:ilvl w:val="0"/>
          <w:numId w:val="4"/>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Grupos de diálogo con actores estratégicos.</w:t>
      </w:r>
    </w:p>
    <w:p w:rsidR="23C22E41" w:rsidP="00525A93" w:rsidRDefault="23C22E41" w14:paraId="3C81AFA5" w14:textId="1FFC91AE">
      <w:pPr>
        <w:pStyle w:val="Prrafodelista"/>
        <w:numPr>
          <w:ilvl w:val="0"/>
          <w:numId w:val="4"/>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Identificación de prácticas cotidianas relacionadas con el uso de la energía.</w:t>
      </w:r>
    </w:p>
    <w:p w:rsidR="23C22E41" w:rsidP="00525A93" w:rsidRDefault="23C22E41" w14:paraId="7F3A60D3" w14:textId="6F97CA8F">
      <w:pPr>
        <w:pStyle w:val="Prrafodelista"/>
        <w:numPr>
          <w:ilvl w:val="0"/>
          <w:numId w:val="4"/>
        </w:numPr>
        <w:spacing w:before="240" w:beforeAutospacing="off" w:after="36" w:afterAutospacing="off" w:line="360" w:lineRule="auto"/>
        <w:ind w:left="720" w:right="0" w:hanging="360"/>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Reconocimiento de experiencias y aprendizajes derivados del huracán IOTA.</w:t>
      </w:r>
    </w:p>
    <w:p w:rsidR="23C22E41" w:rsidP="00525A93" w:rsidRDefault="23C22E41" w14:paraId="7EE62063" w14:textId="0CB407F5">
      <w:pPr>
        <w:spacing w:before="240" w:beforeAutospacing="off" w:after="180" w:afterAutospacing="off" w:line="360" w:lineRule="auto"/>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Estos espacios permitirán conocer aspectos relacionados con el acceso y la calidad del servicio energético, los impactos de las interrupciones del suministro, las necesidades específicas de los sectores productivos, las formas de organización comunitaria y los conocimientos locales sobre el territorio.</w:t>
      </w:r>
    </w:p>
    <w:p w:rsidR="23C22E41" w:rsidP="00525A93" w:rsidRDefault="23C22E41" w14:paraId="6230DCB4" w14:textId="7578310E">
      <w:pPr>
        <w:spacing w:before="240" w:beforeAutospacing="off" w:after="180" w:afterAutospacing="off" w:line="360" w:lineRule="auto"/>
        <w:jc w:val="both"/>
        <w:rPr>
          <w:rFonts w:ascii="Times New Roman" w:hAnsi="Times New Roman" w:eastAsia="Times New Roman" w:cs="Times New Roman"/>
          <w:color w:val="auto"/>
          <w:sz w:val="24"/>
          <w:szCs w:val="24"/>
        </w:rPr>
      </w:pPr>
      <w:r w:rsidRPr="00525A93" w:rsidR="23C22E41">
        <w:rPr>
          <w:rFonts w:ascii="Times New Roman" w:hAnsi="Times New Roman" w:eastAsia="Times New Roman" w:cs="Times New Roman"/>
          <w:color w:val="auto"/>
          <w:sz w:val="24"/>
          <w:szCs w:val="24"/>
        </w:rPr>
        <w:t>Como resultado de este momento, se contará con un diagnóstico preliminar que integrará información social, territorial y energética construida desde las voces y experiencias de la comunidad.</w:t>
      </w:r>
    </w:p>
    <w:p w:rsidR="23C22E41" w:rsidP="00525A93" w:rsidRDefault="23C22E41" w14:paraId="442150D4" w14:textId="727EBB67">
      <w:pPr>
        <w:pStyle w:val="Normal"/>
        <w:spacing w:before="240" w:beforeAutospacing="off" w:after="36" w:afterAutospacing="off" w:line="360" w:lineRule="auto"/>
        <w:ind w:left="0" w:right="0" w:hanging="0"/>
        <w:jc w:val="both"/>
        <w:rPr>
          <w:rFonts w:ascii="Times New Roman" w:hAnsi="Times New Roman" w:eastAsia="Times New Roman" w:cs="Times New Roman"/>
          <w:b w:val="1"/>
          <w:bCs w:val="1"/>
          <w:color w:val="auto"/>
          <w:sz w:val="24"/>
          <w:szCs w:val="24"/>
        </w:rPr>
      </w:pPr>
      <w:r w:rsidRPr="00525A93" w:rsidR="23C22E41">
        <w:rPr>
          <w:rFonts w:ascii="Times New Roman" w:hAnsi="Times New Roman" w:eastAsia="Times New Roman" w:cs="Times New Roman"/>
          <w:b w:val="1"/>
          <w:bCs w:val="1"/>
          <w:color w:val="auto"/>
          <w:sz w:val="24"/>
          <w:szCs w:val="24"/>
        </w:rPr>
        <w:t>Momento</w:t>
      </w:r>
      <w:r w:rsidRPr="00525A93" w:rsidR="23C22E41">
        <w:rPr>
          <w:rFonts w:ascii="Times New Roman" w:hAnsi="Times New Roman" w:eastAsia="Times New Roman" w:cs="Times New Roman"/>
          <w:b w:val="1"/>
          <w:bCs w:val="1"/>
          <w:color w:val="auto"/>
          <w:sz w:val="24"/>
          <w:szCs w:val="24"/>
        </w:rPr>
        <w:t xml:space="preserve"> II</w:t>
      </w:r>
    </w:p>
    <w:p w:rsidR="2F93B2F9" w:rsidP="00525A93" w:rsidRDefault="2F93B2F9" w14:paraId="5AE8E16D" w14:textId="497DECA2">
      <w:pPr>
        <w:pStyle w:val="Normal"/>
        <w:spacing w:before="240" w:beforeAutospacing="off" w:after="36" w:afterAutospacing="off" w:line="360" w:lineRule="auto"/>
        <w:ind w:left="0" w:right="0" w:hanging="0"/>
        <w:jc w:val="both"/>
        <w:rPr>
          <w:rFonts w:ascii="Times New Roman" w:hAnsi="Times New Roman" w:eastAsia="Times New Roman" w:cs="Times New Roman"/>
          <w:noProof/>
          <w:color w:val="auto"/>
          <w:sz w:val="24"/>
          <w:szCs w:val="24"/>
          <w:lang w:val="es-CO"/>
        </w:rPr>
      </w:pPr>
      <w:r w:rsidRPr="00525A93" w:rsidR="2F93B2F9">
        <w:rPr>
          <w:rFonts w:ascii="Times New Roman" w:hAnsi="Times New Roman" w:eastAsia="Times New Roman" w:cs="Times New Roman"/>
          <w:noProof/>
          <w:color w:val="auto"/>
          <w:sz w:val="24"/>
          <w:szCs w:val="24"/>
          <w:lang w:val="es-CO"/>
        </w:rPr>
        <w:t>Una vez recopilada y sistematizada la información, se desarrollará un proceso de validación colectiva orientado a revisar, complementar y ajustar los hallazgos obtenidos durante la fase de escucha.</w:t>
      </w:r>
    </w:p>
    <w:p w:rsidR="2F93B2F9" w:rsidP="00525A93" w:rsidRDefault="2F93B2F9" w14:paraId="26964939" w14:textId="0DBDC1A1">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2F93B2F9">
        <w:rPr>
          <w:rFonts w:ascii="Times New Roman" w:hAnsi="Times New Roman" w:eastAsia="Times New Roman" w:cs="Times New Roman"/>
          <w:noProof/>
          <w:color w:val="auto"/>
          <w:sz w:val="24"/>
          <w:szCs w:val="24"/>
          <w:lang w:val="es-CO"/>
        </w:rPr>
        <w:t>Este momento busca garantizar que el diagnóstico refleje las realidades del territorio y las prioridades definidas por la comunidad, promoviendo el diálogo entre el conocimiento técnico y el conocimiento local.</w:t>
      </w:r>
    </w:p>
    <w:p w:rsidR="2F93B2F9" w:rsidP="00525A93" w:rsidRDefault="2F93B2F9" w14:paraId="14435E93" w14:textId="17260B36">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2F93B2F9">
        <w:rPr>
          <w:rFonts w:ascii="Times New Roman" w:hAnsi="Times New Roman" w:eastAsia="Times New Roman" w:cs="Times New Roman"/>
          <w:noProof/>
          <w:color w:val="auto"/>
          <w:sz w:val="24"/>
          <w:szCs w:val="24"/>
          <w:lang w:val="es-CO"/>
        </w:rPr>
        <w:t>Para ello, se realizarán encuentros comunitarios en diferentes sectores del archipiélago, utilizando herramientas participativas que faciliten la comprensión y discusión de los resultados.</w:t>
      </w:r>
    </w:p>
    <w:p w:rsidR="2F93B2F9" w:rsidP="00525A93" w:rsidRDefault="2F93B2F9" w14:paraId="15244815" w14:textId="72E201D9">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2F93B2F9">
        <w:rPr>
          <w:rFonts w:ascii="Times New Roman" w:hAnsi="Times New Roman" w:eastAsia="Times New Roman" w:cs="Times New Roman"/>
          <w:noProof/>
          <w:color w:val="auto"/>
          <w:sz w:val="24"/>
          <w:szCs w:val="24"/>
          <w:lang w:val="es-CO"/>
        </w:rPr>
        <w:t>Entre las principales actividades se encuentran:</w:t>
      </w:r>
    </w:p>
    <w:p w:rsidR="2F93B2F9" w:rsidP="00525A93" w:rsidRDefault="2F93B2F9" w14:paraId="759E5202" w14:textId="2F67DC15">
      <w:pPr>
        <w:pStyle w:val="Prrafodelista"/>
        <w:numPr>
          <w:ilvl w:val="0"/>
          <w:numId w:val="5"/>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n-US"/>
        </w:rPr>
      </w:pPr>
      <w:r w:rsidRPr="00525A93" w:rsidR="2F93B2F9">
        <w:rPr>
          <w:rFonts w:ascii="Times New Roman" w:hAnsi="Times New Roman" w:eastAsia="Times New Roman" w:cs="Times New Roman"/>
          <w:noProof/>
          <w:color w:val="auto"/>
          <w:sz w:val="24"/>
          <w:szCs w:val="24"/>
          <w:lang w:val="en-US"/>
        </w:rPr>
        <w:t>Socialización de hallazgos preliminares.</w:t>
      </w:r>
    </w:p>
    <w:p w:rsidR="2F93B2F9" w:rsidP="00525A93" w:rsidRDefault="2F93B2F9" w14:paraId="18A37321" w14:textId="1E3AC4AA">
      <w:pPr>
        <w:pStyle w:val="Prrafodelista"/>
        <w:numPr>
          <w:ilvl w:val="0"/>
          <w:numId w:val="5"/>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n-US"/>
        </w:rPr>
      </w:pPr>
      <w:r w:rsidRPr="00525A93" w:rsidR="2F93B2F9">
        <w:rPr>
          <w:rFonts w:ascii="Times New Roman" w:hAnsi="Times New Roman" w:eastAsia="Times New Roman" w:cs="Times New Roman"/>
          <w:noProof/>
          <w:color w:val="auto"/>
          <w:sz w:val="24"/>
          <w:szCs w:val="24"/>
          <w:lang w:val="en-US"/>
        </w:rPr>
        <w:t>Talleres de validación comunitaria.</w:t>
      </w:r>
    </w:p>
    <w:p w:rsidR="2F93B2F9" w:rsidP="00525A93" w:rsidRDefault="2F93B2F9" w14:paraId="7AAAE0A3" w14:textId="190B7CE1">
      <w:pPr>
        <w:pStyle w:val="Prrafodelista"/>
        <w:numPr>
          <w:ilvl w:val="0"/>
          <w:numId w:val="5"/>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n-US"/>
        </w:rPr>
      </w:pPr>
      <w:r w:rsidRPr="00525A93" w:rsidR="2F93B2F9">
        <w:rPr>
          <w:rFonts w:ascii="Times New Roman" w:hAnsi="Times New Roman" w:eastAsia="Times New Roman" w:cs="Times New Roman"/>
          <w:noProof/>
          <w:color w:val="auto"/>
          <w:sz w:val="24"/>
          <w:szCs w:val="24"/>
          <w:lang w:val="en-US"/>
        </w:rPr>
        <w:t>Mesas de trabajo temáticas.</w:t>
      </w:r>
    </w:p>
    <w:p w:rsidR="2F93B2F9" w:rsidP="00525A93" w:rsidRDefault="2F93B2F9" w14:paraId="7A130095" w14:textId="339ADB3E">
      <w:pPr>
        <w:pStyle w:val="Prrafodelista"/>
        <w:numPr>
          <w:ilvl w:val="0"/>
          <w:numId w:val="5"/>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s-CO"/>
        </w:rPr>
      </w:pPr>
      <w:r w:rsidRPr="00525A93" w:rsidR="2F93B2F9">
        <w:rPr>
          <w:rFonts w:ascii="Times New Roman" w:hAnsi="Times New Roman" w:eastAsia="Times New Roman" w:cs="Times New Roman"/>
          <w:noProof/>
          <w:color w:val="auto"/>
          <w:sz w:val="24"/>
          <w:szCs w:val="24"/>
          <w:lang w:val="es-CO"/>
        </w:rPr>
        <w:t>Grupos focales con enfoque diferencial.</w:t>
      </w:r>
    </w:p>
    <w:p w:rsidR="2F93B2F9" w:rsidP="00525A93" w:rsidRDefault="2F93B2F9" w14:paraId="3EE24D99" w14:textId="36824787">
      <w:pPr>
        <w:pStyle w:val="Prrafodelista"/>
        <w:numPr>
          <w:ilvl w:val="0"/>
          <w:numId w:val="5"/>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n-US"/>
        </w:rPr>
      </w:pPr>
      <w:r w:rsidRPr="00525A93" w:rsidR="2F93B2F9">
        <w:rPr>
          <w:rFonts w:ascii="Times New Roman" w:hAnsi="Times New Roman" w:eastAsia="Times New Roman" w:cs="Times New Roman"/>
          <w:noProof/>
          <w:color w:val="auto"/>
          <w:sz w:val="24"/>
          <w:szCs w:val="24"/>
          <w:lang w:val="en-US"/>
        </w:rPr>
        <w:t>Espacios de diálogo intergeneracional.</w:t>
      </w:r>
    </w:p>
    <w:p w:rsidR="2F93B2F9" w:rsidP="00525A93" w:rsidRDefault="2F93B2F9" w14:paraId="6BDEF9A8" w14:textId="72F740A9">
      <w:pPr>
        <w:pStyle w:val="Prrafodelista"/>
        <w:numPr>
          <w:ilvl w:val="0"/>
          <w:numId w:val="5"/>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s-CO"/>
        </w:rPr>
      </w:pPr>
      <w:r w:rsidRPr="00525A93" w:rsidR="2F93B2F9">
        <w:rPr>
          <w:rFonts w:ascii="Times New Roman" w:hAnsi="Times New Roman" w:eastAsia="Times New Roman" w:cs="Times New Roman"/>
          <w:noProof/>
          <w:color w:val="auto"/>
          <w:sz w:val="24"/>
          <w:szCs w:val="24"/>
          <w:lang w:val="es-CO"/>
        </w:rPr>
        <w:t>Priorización participativa de problemáticas y oportunidades.</w:t>
      </w:r>
    </w:p>
    <w:p w:rsidR="2F93B2F9" w:rsidP="00525A93" w:rsidRDefault="2F93B2F9" w14:paraId="779A9893" w14:textId="0F99DDA4">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2F93B2F9">
        <w:rPr>
          <w:rFonts w:ascii="Times New Roman" w:hAnsi="Times New Roman" w:eastAsia="Times New Roman" w:cs="Times New Roman"/>
          <w:noProof/>
          <w:color w:val="auto"/>
          <w:sz w:val="24"/>
          <w:szCs w:val="24"/>
          <w:lang w:val="es-CO"/>
        </w:rPr>
        <w:t>Estos espacios permitirán identificar vacíos de información, aclarar aspectos relevantes y complementar el análisis con nuevas perspectivas.</w:t>
      </w:r>
    </w:p>
    <w:p w:rsidR="2F93B2F9" w:rsidP="00525A93" w:rsidRDefault="2F93B2F9" w14:paraId="519290CB" w14:textId="51C0BFD7">
      <w:pPr>
        <w:pStyle w:val="Normal"/>
        <w:spacing w:before="240" w:beforeAutospacing="off" w:after="36" w:afterAutospacing="off" w:line="360" w:lineRule="auto"/>
        <w:ind w:left="0" w:right="0" w:hanging="0"/>
        <w:jc w:val="both"/>
        <w:rPr>
          <w:rFonts w:ascii="Times New Roman" w:hAnsi="Times New Roman" w:eastAsia="Times New Roman" w:cs="Times New Roman"/>
          <w:noProof/>
          <w:color w:val="auto"/>
          <w:sz w:val="24"/>
          <w:szCs w:val="24"/>
          <w:lang w:val="es-CO"/>
        </w:rPr>
      </w:pPr>
      <w:r w:rsidRPr="00525A93" w:rsidR="2F93B2F9">
        <w:rPr>
          <w:rFonts w:ascii="Times New Roman" w:hAnsi="Times New Roman" w:eastAsia="Times New Roman" w:cs="Times New Roman"/>
          <w:noProof/>
          <w:color w:val="auto"/>
          <w:sz w:val="24"/>
          <w:szCs w:val="24"/>
          <w:lang w:val="es-CO"/>
        </w:rPr>
        <w:t>Asimismo, se promoverá el intercambio de saberes entre la comunidad y los equipos técnicos, favoreciendo la construcción de una visión compartida sobre los principales desafíos y oportunidades asociados a la transición energética.</w:t>
      </w:r>
    </w:p>
    <w:p w:rsidR="2F93B2F9" w:rsidP="00525A93" w:rsidRDefault="2F93B2F9" w14:paraId="73D7F41A" w14:textId="320B16B4">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2F93B2F9">
        <w:rPr>
          <w:rFonts w:ascii="Times New Roman" w:hAnsi="Times New Roman" w:eastAsia="Times New Roman" w:cs="Times New Roman"/>
          <w:noProof/>
          <w:color w:val="auto"/>
          <w:sz w:val="24"/>
          <w:szCs w:val="24"/>
          <w:lang w:val="es-CO"/>
        </w:rPr>
        <w:t>Durante este momento se prestará especial atención a las necesidades y expectativas de los diferentes grupos poblacionales, reconociendo que las experiencias relacionadas con la energía pueden variar según la edad, el género, las actividades productivas y las condiciones de vulnerabilidad.</w:t>
      </w:r>
    </w:p>
    <w:p w:rsidR="2F93B2F9" w:rsidP="00525A93" w:rsidRDefault="2F93B2F9" w14:paraId="08BDDDD1" w14:textId="2CD7CA76">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2F93B2F9">
        <w:rPr>
          <w:rFonts w:ascii="Times New Roman" w:hAnsi="Times New Roman" w:eastAsia="Times New Roman" w:cs="Times New Roman"/>
          <w:noProof/>
          <w:color w:val="auto"/>
          <w:sz w:val="24"/>
          <w:szCs w:val="24"/>
          <w:lang w:val="es-CO"/>
        </w:rPr>
        <w:t>El resultado de esta etapa será un diagnóstico social y energético validado colectivamente, que servirá como base para la formulación de la hoja de ruta del PTEJ.</w:t>
      </w:r>
    </w:p>
    <w:p w:rsidR="2F93B2F9" w:rsidP="00525A93" w:rsidRDefault="2F93B2F9" w14:paraId="32A51D69" w14:textId="25E98226">
      <w:pPr>
        <w:pStyle w:val="Normal"/>
        <w:spacing w:before="240" w:beforeAutospacing="off" w:after="36" w:afterAutospacing="off" w:line="360" w:lineRule="auto"/>
        <w:ind w:left="0" w:right="0" w:hanging="0"/>
        <w:jc w:val="both"/>
        <w:rPr>
          <w:rFonts w:ascii="Times New Roman" w:hAnsi="Times New Roman" w:eastAsia="Times New Roman" w:cs="Times New Roman"/>
          <w:b w:val="1"/>
          <w:bCs w:val="1"/>
          <w:noProof/>
          <w:color w:val="auto"/>
          <w:sz w:val="24"/>
          <w:szCs w:val="24"/>
          <w:lang w:val="es-CO"/>
        </w:rPr>
      </w:pPr>
      <w:r w:rsidRPr="00525A93" w:rsidR="2F93B2F9">
        <w:rPr>
          <w:rFonts w:ascii="Times New Roman" w:hAnsi="Times New Roman" w:eastAsia="Times New Roman" w:cs="Times New Roman"/>
          <w:b w:val="1"/>
          <w:bCs w:val="1"/>
          <w:noProof/>
          <w:color w:val="auto"/>
          <w:sz w:val="24"/>
          <w:szCs w:val="24"/>
          <w:lang w:val="es-CO"/>
        </w:rPr>
        <w:t>Momento III</w:t>
      </w:r>
    </w:p>
    <w:p w:rsidR="657289C3" w:rsidP="00525A93" w:rsidRDefault="657289C3" w14:paraId="205DAD19" w14:textId="106E6A12">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A partir del diagnóstico validado, se desarrollará un proceso de construcción colectiva orientado a definir las acciones, proyectos, estrategias y mecanismos de gobernanza que conformarán la hoja de ruta del PTEJ.</w:t>
      </w:r>
    </w:p>
    <w:p w:rsidR="657289C3" w:rsidP="00525A93" w:rsidRDefault="657289C3" w14:paraId="3A0ABBD8" w14:textId="575600E0">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Este momento busca garantizar que las decisiones relacionadas con la transición energética respondan a las prioridades del territorio y cuenten con la participación activa de la comunidad.</w:t>
      </w:r>
    </w:p>
    <w:p w:rsidR="657289C3" w:rsidP="00525A93" w:rsidRDefault="657289C3" w14:paraId="1819AA0F" w14:textId="4344D348">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La construcción de la hoja de ruta se realizará mediante espacios de concertación que permitan definir, de manera conjunta, los objetivos, metas y acciones prioritarias.</w:t>
      </w:r>
    </w:p>
    <w:p w:rsidR="657289C3" w:rsidP="00525A93" w:rsidRDefault="657289C3" w14:paraId="44745872" w14:textId="3C3AE051">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Entre las actividades propuestas se incluyen:</w:t>
      </w:r>
    </w:p>
    <w:p w:rsidR="657289C3" w:rsidP="00525A93" w:rsidRDefault="657289C3" w14:paraId="3E37B654" w14:textId="7ECE9FAA">
      <w:pPr>
        <w:pStyle w:val="Prrafodelista"/>
        <w:numPr>
          <w:ilvl w:val="0"/>
          <w:numId w:val="6"/>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Talleres de co-creación de soluciones.</w:t>
      </w:r>
    </w:p>
    <w:p w:rsidR="657289C3" w:rsidP="00525A93" w:rsidRDefault="657289C3" w14:paraId="1528E338" w14:textId="56D759C6">
      <w:pPr>
        <w:pStyle w:val="Prrafodelista"/>
        <w:numPr>
          <w:ilvl w:val="0"/>
          <w:numId w:val="6"/>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Diseño de mecanismos de gobernanza y participación.</w:t>
      </w:r>
    </w:p>
    <w:p w:rsidR="657289C3" w:rsidP="00525A93" w:rsidRDefault="657289C3" w14:paraId="5C5AAC23" w14:textId="6C2200ED">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Durante esta etapa se promoverá el análisis conjunto de diferentes alternativas tecnológicas, considerando no solo aspectos técnicos y económicos, sino también criterios sociales, culturales, ambientales y territoriales.</w:t>
      </w:r>
    </w:p>
    <w:p w:rsidR="657289C3" w:rsidP="00525A93" w:rsidRDefault="657289C3" w14:paraId="62373819" w14:textId="4E8CBC87">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Igualmente, se establecerán acuerdos sobre los roles y responsabilidades de los diferentes actores involucrados, así como mecanismos de coordinación y toma de decisiones.</w:t>
      </w:r>
    </w:p>
    <w:p w:rsidR="657289C3" w:rsidP="00525A93" w:rsidRDefault="657289C3" w14:paraId="009E5806" w14:textId="1000AC10">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Como resultado de este momento, se contará con una hoja de ruta construida de manera participativa, que integrará componentes sociales, técnicos, ambientales y organizativos.</w:t>
      </w:r>
    </w:p>
    <w:p w:rsidR="657289C3" w:rsidP="00525A93" w:rsidRDefault="657289C3" w14:paraId="138B6BD2" w14:textId="123BA6B2">
      <w:pPr>
        <w:spacing w:before="240" w:beforeAutospacing="off" w:after="180" w:afterAutospacing="off" w:line="360" w:lineRule="auto"/>
        <w:jc w:val="both"/>
        <w:rPr>
          <w:rFonts w:ascii="Times New Roman" w:hAnsi="Times New Roman" w:eastAsia="Times New Roman" w:cs="Times New Roman"/>
          <w:b w:val="1"/>
          <w:bCs w:val="1"/>
          <w:noProof/>
          <w:color w:val="auto"/>
          <w:sz w:val="24"/>
          <w:szCs w:val="24"/>
          <w:lang w:val="es-CO"/>
        </w:rPr>
      </w:pPr>
      <w:r w:rsidRPr="00525A93" w:rsidR="657289C3">
        <w:rPr>
          <w:rFonts w:ascii="Times New Roman" w:hAnsi="Times New Roman" w:eastAsia="Times New Roman" w:cs="Times New Roman"/>
          <w:b w:val="1"/>
          <w:bCs w:val="1"/>
          <w:noProof/>
          <w:color w:val="auto"/>
          <w:sz w:val="24"/>
          <w:szCs w:val="24"/>
          <w:lang w:val="es-CO"/>
        </w:rPr>
        <w:t>Momento IV</w:t>
      </w:r>
    </w:p>
    <w:p w:rsidR="657289C3" w:rsidP="00525A93" w:rsidRDefault="657289C3" w14:paraId="37D8BE00" w14:textId="2A384AE2">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El seguimiento del PTEJ se concibe como un proceso permanente de aprendizaje, evaluación y mejora continua.</w:t>
      </w:r>
    </w:p>
    <w:p w:rsidR="657289C3" w:rsidP="00525A93" w:rsidRDefault="657289C3" w14:paraId="4C484B3B" w14:textId="0C3E5AFB">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Este momento tiene como propósito acompañar la implementación de las acciones definidas, evaluar sus resultados y generar información que permita ajustar las estrategias de manera oportuna.</w:t>
      </w:r>
    </w:p>
    <w:p w:rsidR="657289C3" w:rsidP="00525A93" w:rsidRDefault="657289C3" w14:paraId="557B6326" w14:textId="1C1D0504">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Para ello, se establecerán mecanismos participativos de seguimiento que permitan a la comunidad conocer los avances del proceso, identificar desafíos y formular recomendaciones.</w:t>
      </w:r>
    </w:p>
    <w:p w:rsidR="657289C3" w:rsidP="00525A93" w:rsidRDefault="657289C3" w14:paraId="1799AFDC" w14:textId="0B960D01">
      <w:pPr>
        <w:spacing w:before="240" w:beforeAutospacing="off" w:after="180" w:afterAutospacing="off" w:line="360" w:lineRule="auto"/>
        <w:jc w:val="both"/>
        <w:rPr>
          <w:rFonts w:ascii="Times New Roman" w:hAnsi="Times New Roman" w:eastAsia="Times New Roman" w:cs="Times New Roman"/>
          <w:noProof/>
          <w:color w:val="auto"/>
          <w:sz w:val="24"/>
          <w:szCs w:val="24"/>
          <w:lang w:val="en-US"/>
        </w:rPr>
      </w:pPr>
      <w:r w:rsidRPr="00525A93" w:rsidR="657289C3">
        <w:rPr>
          <w:rFonts w:ascii="Times New Roman" w:hAnsi="Times New Roman" w:eastAsia="Times New Roman" w:cs="Times New Roman"/>
          <w:noProof/>
          <w:color w:val="auto"/>
          <w:sz w:val="24"/>
          <w:szCs w:val="24"/>
          <w:lang w:val="en-US"/>
        </w:rPr>
        <w:t>Entre las principales actividades se contemplan:</w:t>
      </w:r>
    </w:p>
    <w:p w:rsidR="657289C3" w:rsidP="00525A93" w:rsidRDefault="657289C3" w14:paraId="1E5C5370" w14:textId="7B7C08EF">
      <w:pPr>
        <w:pStyle w:val="Prrafodelista"/>
        <w:numPr>
          <w:ilvl w:val="0"/>
          <w:numId w:val="7"/>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n-US"/>
        </w:rPr>
      </w:pPr>
      <w:r w:rsidRPr="00525A93" w:rsidR="657289C3">
        <w:rPr>
          <w:rFonts w:ascii="Times New Roman" w:hAnsi="Times New Roman" w:eastAsia="Times New Roman" w:cs="Times New Roman"/>
          <w:noProof/>
          <w:color w:val="auto"/>
          <w:sz w:val="24"/>
          <w:szCs w:val="24"/>
          <w:lang w:val="en-US"/>
        </w:rPr>
        <w:t>Espacios de evaluación participativa.</w:t>
      </w:r>
    </w:p>
    <w:p w:rsidR="657289C3" w:rsidP="00525A93" w:rsidRDefault="657289C3" w14:paraId="0558F0F0" w14:textId="51D357C2">
      <w:pPr>
        <w:pStyle w:val="Prrafodelista"/>
        <w:numPr>
          <w:ilvl w:val="0"/>
          <w:numId w:val="7"/>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Construcción de indicadores sociales y comunitarios.</w:t>
      </w:r>
    </w:p>
    <w:p w:rsidR="657289C3" w:rsidP="00525A93" w:rsidRDefault="657289C3" w14:paraId="452ACD79" w14:textId="0528A5AF">
      <w:pPr>
        <w:pStyle w:val="Prrafodelista"/>
        <w:numPr>
          <w:ilvl w:val="0"/>
          <w:numId w:val="7"/>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n-US"/>
        </w:rPr>
      </w:pPr>
      <w:r w:rsidRPr="00525A93" w:rsidR="657289C3">
        <w:rPr>
          <w:rFonts w:ascii="Times New Roman" w:hAnsi="Times New Roman" w:eastAsia="Times New Roman" w:cs="Times New Roman"/>
          <w:noProof/>
          <w:color w:val="auto"/>
          <w:sz w:val="24"/>
          <w:szCs w:val="24"/>
          <w:lang w:val="en-US"/>
        </w:rPr>
        <w:t>Sistematización de experiencias.</w:t>
      </w:r>
    </w:p>
    <w:p w:rsidR="657289C3" w:rsidP="00525A93" w:rsidRDefault="657289C3" w14:paraId="4579169F" w14:textId="343DD614">
      <w:pPr>
        <w:pStyle w:val="Prrafodelista"/>
        <w:numPr>
          <w:ilvl w:val="0"/>
          <w:numId w:val="7"/>
        </w:numPr>
        <w:spacing w:before="240" w:beforeAutospacing="off" w:after="36" w:afterAutospacing="off" w:line="360" w:lineRule="auto"/>
        <w:ind w:left="720" w:right="0" w:hanging="360"/>
        <w:jc w:val="both"/>
        <w:rPr>
          <w:rFonts w:ascii="Times New Roman" w:hAnsi="Times New Roman" w:eastAsia="Times New Roman" w:cs="Times New Roman"/>
          <w:noProof/>
          <w:color w:val="auto"/>
          <w:sz w:val="24"/>
          <w:szCs w:val="24"/>
          <w:lang w:val="en-US"/>
        </w:rPr>
      </w:pPr>
      <w:r w:rsidRPr="00525A93" w:rsidR="657289C3">
        <w:rPr>
          <w:rFonts w:ascii="Times New Roman" w:hAnsi="Times New Roman" w:eastAsia="Times New Roman" w:cs="Times New Roman"/>
          <w:noProof/>
          <w:color w:val="auto"/>
          <w:sz w:val="24"/>
          <w:szCs w:val="24"/>
          <w:lang w:val="en-US"/>
        </w:rPr>
        <w:t>Fortalecimiento de mecanismos de veeduría comunitaria.</w:t>
      </w:r>
    </w:p>
    <w:p w:rsidR="657289C3" w:rsidP="00525A93" w:rsidRDefault="657289C3" w14:paraId="6DF176DC" w14:textId="756F7E44">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Además de los indicadores técnicos, se incorporarán criterios de evaluación relacionados con la calidad de la participación, el fortalecimiento organizativo, la confianza comunitaria, la pertinencia cultural de las acciones implementadas y la percepción de bienestar de la población.</w:t>
      </w:r>
    </w:p>
    <w:p w:rsidR="657289C3" w:rsidP="00525A93" w:rsidRDefault="657289C3" w14:paraId="12276C36" w14:textId="266698B4">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De igual manera, se promoverá la construcción de una memoria colectiva del proceso mediante el registro de testimonios, experiencias y aprendizajes, reconociendo la importancia de documentar las transformaciones sociales y comunitarias asociadas a la transición energética.</w:t>
      </w:r>
    </w:p>
    <w:p w:rsidR="657289C3" w:rsidP="00525A93" w:rsidRDefault="657289C3" w14:paraId="4660A6A8" w14:textId="6D73E6D4">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Este ejercicio permitirá preservar la memoria del territorio, fortalecer la apropiación comunitaria y facilitar la transferencia de conocimientos entre generaciones.</w:t>
      </w:r>
    </w:p>
    <w:p w:rsidR="657289C3" w:rsidP="00525A93" w:rsidRDefault="657289C3" w14:paraId="4957BF78" w14:textId="2831212E">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La hoja de ruta del PTEJ se entenderá como un instrumento dinámico, susceptible de ajustes y actualizaciones en función de los aprendizajes generados durante su implementación.</w:t>
      </w:r>
    </w:p>
    <w:p w:rsidR="657289C3" w:rsidP="00525A93" w:rsidRDefault="657289C3" w14:paraId="512A613F" w14:textId="26758D3E">
      <w:pPr>
        <w:spacing w:before="240" w:beforeAutospacing="off" w:after="180" w:afterAutospacing="off" w:line="360" w:lineRule="auto"/>
        <w:jc w:val="both"/>
        <w:rPr>
          <w:rFonts w:ascii="Times New Roman" w:hAnsi="Times New Roman" w:eastAsia="Times New Roman" w:cs="Times New Roman"/>
          <w:noProof/>
          <w:color w:val="auto"/>
          <w:sz w:val="24"/>
          <w:szCs w:val="24"/>
          <w:lang w:val="es-CO"/>
        </w:rPr>
      </w:pPr>
      <w:r w:rsidRPr="00525A93" w:rsidR="657289C3">
        <w:rPr>
          <w:rFonts w:ascii="Times New Roman" w:hAnsi="Times New Roman" w:eastAsia="Times New Roman" w:cs="Times New Roman"/>
          <w:noProof/>
          <w:color w:val="auto"/>
          <w:sz w:val="24"/>
          <w:szCs w:val="24"/>
          <w:lang w:val="es-CO"/>
        </w:rPr>
        <w:t>Como resultado de este momento, se contará con un sistema de seguimiento participativo que contribuya a garantizar la transparencia, la sostenibilidad y la legitimidad social del proceso.</w:t>
      </w:r>
    </w:p>
    <w:p w:rsidR="745706F4" w:rsidP="00525A93" w:rsidRDefault="745706F4" w14:paraId="6E4A8077" w14:textId="4213F92C">
      <w:pPr>
        <w:pStyle w:val="Normal"/>
        <w:spacing w:after="240" w:afterAutospacing="off" w:line="360" w:lineRule="auto"/>
        <w:jc w:val="both"/>
        <w:rPr>
          <w:b w:val="1"/>
          <w:bCs w:val="1"/>
          <w:noProof/>
          <w:lang w:val="es-CO"/>
        </w:rPr>
      </w:pPr>
      <w:r w:rsidRPr="00525A93" w:rsidR="745706F4">
        <w:rPr>
          <w:b w:val="1"/>
          <w:bCs w:val="1"/>
          <w:noProof/>
          <w:lang w:val="es-CO"/>
        </w:rPr>
        <w:t>Herramientas metodológicas</w:t>
      </w:r>
    </w:p>
    <w:p w:rsidR="745706F4" w:rsidP="00525A93" w:rsidRDefault="745706F4" w14:paraId="3A547B41" w14:textId="00B41B55">
      <w:pPr>
        <w:pStyle w:val="Normal"/>
        <w:spacing w:after="240" w:afterAutospacing="off" w:line="360" w:lineRule="auto"/>
        <w:jc w:val="both"/>
        <w:rPr>
          <w:rFonts w:ascii="Times New Roman" w:hAnsi="Times New Roman" w:eastAsia="Times New Roman" w:cs="Times New Roman"/>
          <w:noProof/>
          <w:color w:val="auto"/>
          <w:sz w:val="24"/>
          <w:szCs w:val="24"/>
          <w:lang w:val="es-CO"/>
        </w:rPr>
      </w:pPr>
      <w:r w:rsidRPr="00525A93" w:rsidR="745706F4">
        <w:rPr>
          <w:noProof/>
          <w:lang w:val="es-CO"/>
        </w:rPr>
        <w:t>Las herramientas metodológicas constituyen el conjunto de técnicas e instrumentos que permiten desarrollar los cuatro momentos del proceso participativo del PTEJ. Su selección responde a la necesidad de generar información relevante para la toma de decisiones, fortalecer la participación comunitaria y promover el diálogo entre el conocimiento técnico y los saberes locales.</w:t>
      </w:r>
    </w:p>
    <w:p w:rsidR="745706F4" w:rsidP="00525A93" w:rsidRDefault="745706F4" w14:paraId="4656293E" w14:textId="1510FE2B">
      <w:pPr>
        <w:pStyle w:val="Normal"/>
        <w:spacing w:after="240" w:afterAutospacing="off" w:line="360" w:lineRule="auto"/>
        <w:jc w:val="both"/>
        <w:rPr>
          <w:rFonts w:ascii="Times New Roman" w:hAnsi="Times New Roman" w:eastAsia="Times New Roman" w:cs="Times New Roman"/>
          <w:noProof/>
          <w:color w:val="auto"/>
          <w:sz w:val="24"/>
          <w:szCs w:val="24"/>
          <w:lang w:val="es-CO"/>
        </w:rPr>
      </w:pPr>
      <w:r w:rsidRPr="00525A93" w:rsidR="745706F4">
        <w:rPr>
          <w:noProof/>
          <w:lang w:val="es-CO"/>
        </w:rPr>
        <w:t>Estas herramientas se implementarán de manera flexible y complementaria, respetando los tiempos comunitarios, las dinámicas organizativas del territorio y las particularidades culturales del pueblo raizal.</w:t>
      </w:r>
    </w:p>
    <w:p w:rsidR="3F6667FA" w:rsidP="00525A93" w:rsidRDefault="3F6667FA" w14:paraId="693A3ED8" w14:textId="1D43A012">
      <w:pPr>
        <w:pStyle w:val="Normal"/>
        <w:spacing w:after="240" w:afterAutospacing="off" w:line="360" w:lineRule="auto"/>
        <w:jc w:val="both"/>
        <w:rPr>
          <w:noProof/>
          <w:u w:val="single"/>
          <w:lang w:val="es-CO"/>
        </w:rPr>
      </w:pPr>
      <w:r w:rsidRPr="00525A93" w:rsidR="3F6667FA">
        <w:rPr>
          <w:noProof/>
          <w:u w:val="single"/>
          <w:lang w:val="es-CO"/>
        </w:rPr>
        <w:t>Entrevistas abiertas y conversaciones etnográficas</w:t>
      </w:r>
    </w:p>
    <w:p w:rsidR="00525A93" w:rsidP="00525A93" w:rsidRDefault="00525A93" w14:paraId="6105E56B" w14:textId="5154610F">
      <w:pPr>
        <w:pStyle w:val="Normal"/>
        <w:spacing w:after="240" w:afterAutospacing="off" w:line="360" w:lineRule="auto"/>
        <w:jc w:val="both"/>
        <w:rPr>
          <w:noProof/>
          <w:lang w:val="es-CO"/>
        </w:rPr>
      </w:pPr>
    </w:p>
    <w:p w:rsidR="3F6667FA" w:rsidP="00525A93" w:rsidRDefault="3F6667FA" w14:paraId="16D147B1" w14:textId="3F864C6F">
      <w:pPr>
        <w:pStyle w:val="Normal"/>
        <w:spacing w:after="240" w:afterAutospacing="off" w:line="360" w:lineRule="auto"/>
        <w:jc w:val="both"/>
      </w:pPr>
      <w:r w:rsidRPr="00525A93" w:rsidR="3F6667FA">
        <w:rPr>
          <w:noProof/>
          <w:lang w:val="es-CO"/>
        </w:rPr>
        <w:t>Las entrevistas abiertas son una herramienta orientada a comprender las experiencias, percepciones y prácticas cotidianas de la comunidad en relación con la energía.</w:t>
      </w:r>
    </w:p>
    <w:p w:rsidR="3F6667FA" w:rsidP="00525A93" w:rsidRDefault="3F6667FA" w14:paraId="501FADF5" w14:textId="060E845D">
      <w:pPr>
        <w:pStyle w:val="Normal"/>
        <w:spacing w:after="240" w:afterAutospacing="off" w:line="360" w:lineRule="auto"/>
        <w:jc w:val="both"/>
      </w:pPr>
      <w:r w:rsidRPr="00525A93" w:rsidR="3F6667FA">
        <w:rPr>
          <w:noProof/>
          <w:lang w:val="es-CO"/>
        </w:rPr>
        <w:t>A diferencia de los instrumentos estructurados, estas conversaciones permiten que las personas compartan sus conocimientos y narren sus experiencias desde sus propios marcos de referencia.</w:t>
      </w:r>
    </w:p>
    <w:p w:rsidR="3F6667FA" w:rsidP="00525A93" w:rsidRDefault="3F6667FA" w14:paraId="7BA31FD5" w14:textId="66AB5BAA">
      <w:pPr>
        <w:pStyle w:val="Normal"/>
        <w:spacing w:after="240" w:afterAutospacing="off" w:line="360" w:lineRule="auto"/>
        <w:jc w:val="both"/>
      </w:pPr>
      <w:r w:rsidRPr="00525A93" w:rsidR="3F6667FA">
        <w:rPr>
          <w:noProof/>
          <w:lang w:val="es-CO"/>
        </w:rPr>
        <w:t>Las entrevistas abordarán temas relacionados con el acceso a la energía, los impactos de las interrupciones del servicio, las estrategias comunitarias de adaptación, los cambios ocurridos tras el huracán IOTA y las expectativas frente a la transición energética.</w:t>
      </w:r>
    </w:p>
    <w:p w:rsidR="3F6667FA" w:rsidP="00525A93" w:rsidRDefault="3F6667FA" w14:paraId="0479AF4D" w14:textId="75A31A46">
      <w:pPr>
        <w:pStyle w:val="Normal"/>
        <w:spacing w:after="240" w:afterAutospacing="off" w:line="360" w:lineRule="auto"/>
        <w:jc w:val="both"/>
      </w:pPr>
      <w:r w:rsidRPr="00525A93" w:rsidR="3F6667FA">
        <w:rPr>
          <w:noProof/>
          <w:lang w:val="es-CO"/>
        </w:rPr>
        <w:t>Esta herramienta se desarrollará con actores representativos del territorio, incluyendo personas mayores, mujeres, jóvenes, pescadores artesanales, líderes comunitarios, prestadores de servicios turísticos y representantes institucionales.</w:t>
      </w:r>
    </w:p>
    <w:p w:rsidR="3F6667FA" w:rsidP="00525A93" w:rsidRDefault="3F6667FA" w14:paraId="0E9B90AC" w14:textId="12D2AEF0">
      <w:pPr>
        <w:pStyle w:val="Normal"/>
        <w:spacing w:after="240" w:afterAutospacing="off" w:line="360" w:lineRule="auto"/>
        <w:jc w:val="both"/>
      </w:pPr>
      <w:r w:rsidRPr="00525A93" w:rsidR="3F6667FA">
        <w:rPr>
          <w:noProof/>
          <w:lang w:val="es-CO"/>
        </w:rPr>
        <w:t>Su principal aporte consiste en identificar aspectos que no suelen registrarse en las fuentes estadísticas, tales como las memorias del territorio, las experiencias de cuidado, las relaciones sociales asociadas al uso de la energía y las formas locales de organización.</w:t>
      </w:r>
    </w:p>
    <w:p w:rsidR="3F6667FA" w:rsidP="00525A93" w:rsidRDefault="3F6667FA" w14:paraId="1F0A995E" w14:textId="300DC8BC">
      <w:pPr>
        <w:pStyle w:val="Normal"/>
        <w:spacing w:after="240" w:afterAutospacing="off" w:line="360" w:lineRule="auto"/>
        <w:jc w:val="both"/>
        <w:rPr>
          <w:noProof/>
          <w:u w:val="single"/>
          <w:lang w:val="es-CO"/>
        </w:rPr>
      </w:pPr>
      <w:r w:rsidRPr="00525A93" w:rsidR="3F6667FA">
        <w:rPr>
          <w:noProof/>
          <w:u w:val="single"/>
          <w:lang w:val="es-CO"/>
        </w:rPr>
        <w:t>Observación participante y recorridos territoriales</w:t>
      </w:r>
    </w:p>
    <w:p w:rsidR="3F6667FA" w:rsidP="00525A93" w:rsidRDefault="3F6667FA" w14:paraId="32A6439A" w14:textId="3EF725D0">
      <w:pPr>
        <w:pStyle w:val="Normal"/>
        <w:spacing w:after="240" w:afterAutospacing="off" w:line="360" w:lineRule="auto"/>
        <w:jc w:val="both"/>
      </w:pPr>
      <w:r w:rsidRPr="00525A93" w:rsidR="3F6667FA">
        <w:rPr>
          <w:noProof/>
          <w:lang w:val="es-CO"/>
        </w:rPr>
        <w:t>La observación participante permite comprender las dinámicas sociales y energéticas del territorio a partir del acompañamiento directo a las actividades cotidianas de la comunidad.</w:t>
      </w:r>
    </w:p>
    <w:p w:rsidR="3F6667FA" w:rsidP="00525A93" w:rsidRDefault="3F6667FA" w14:paraId="19909B9E" w14:textId="3835E02A">
      <w:pPr>
        <w:pStyle w:val="Normal"/>
        <w:spacing w:after="240" w:afterAutospacing="off" w:line="360" w:lineRule="auto"/>
        <w:jc w:val="both"/>
      </w:pPr>
      <w:r w:rsidRPr="00525A93" w:rsidR="3F6667FA">
        <w:rPr>
          <w:noProof/>
          <w:lang w:val="es-CO"/>
        </w:rPr>
        <w:t>Mediante recorridos por distintos sectores de Providencia y Santa Catalina, el equipo facilitador podrá identificar las condiciones de acceso a la energía, los usos productivos y domésticos del servicio, las zonas con mayores afectaciones y las formas de organización comunitaria existentes.</w:t>
      </w:r>
    </w:p>
    <w:p w:rsidR="3F6667FA" w:rsidP="00525A93" w:rsidRDefault="3F6667FA" w14:paraId="521F5857" w14:textId="1B563F08">
      <w:pPr>
        <w:pStyle w:val="Normal"/>
        <w:spacing w:after="240" w:afterAutospacing="off" w:line="360" w:lineRule="auto"/>
        <w:jc w:val="both"/>
      </w:pPr>
      <w:r w:rsidRPr="00525A93" w:rsidR="3F6667FA">
        <w:rPr>
          <w:noProof/>
          <w:lang w:val="es-CO"/>
        </w:rPr>
        <w:t>Estos recorridos también facilitarán la identificación de lugares estratégicos para la implementación de iniciativas energéticas y el reconocimiento de elementos culturales, ambientales y paisajísticos que deben ser considerados en la planificación.</w:t>
      </w:r>
    </w:p>
    <w:p w:rsidR="3F6667FA" w:rsidP="00525A93" w:rsidRDefault="3F6667FA" w14:paraId="6EECE3B1" w14:textId="4B0F1950">
      <w:pPr>
        <w:pStyle w:val="Normal"/>
        <w:spacing w:after="240" w:afterAutospacing="off" w:line="360" w:lineRule="auto"/>
        <w:jc w:val="both"/>
      </w:pPr>
      <w:r w:rsidRPr="00525A93" w:rsidR="3F6667FA">
        <w:rPr>
          <w:noProof/>
          <w:lang w:val="es-CO"/>
        </w:rPr>
        <w:t>La información obtenida será registrada mediante notas de campo, registros fotográficos y sistematización de aprendizajes.</w:t>
      </w:r>
    </w:p>
    <w:p w:rsidR="3F6667FA" w:rsidP="00525A93" w:rsidRDefault="3F6667FA" w14:paraId="4DBB0F0B" w14:textId="436B665E">
      <w:pPr>
        <w:pStyle w:val="Normal"/>
        <w:spacing w:after="240" w:afterAutospacing="off" w:line="360" w:lineRule="auto"/>
        <w:jc w:val="both"/>
        <w:rPr>
          <w:noProof/>
          <w:u w:val="single"/>
          <w:lang w:val="es-CO"/>
        </w:rPr>
      </w:pPr>
      <w:r w:rsidRPr="00525A93" w:rsidR="3F6667FA">
        <w:rPr>
          <w:noProof/>
          <w:u w:val="single"/>
          <w:lang w:val="es-CO"/>
        </w:rPr>
        <w:t>Cartografía social participativa</w:t>
      </w:r>
    </w:p>
    <w:p w:rsidR="3F6667FA" w:rsidP="00525A93" w:rsidRDefault="3F6667FA" w14:paraId="35418230" w14:textId="310FB65A">
      <w:pPr>
        <w:pStyle w:val="Normal"/>
        <w:spacing w:after="240" w:afterAutospacing="off" w:line="360" w:lineRule="auto"/>
        <w:jc w:val="both"/>
      </w:pPr>
      <w:r w:rsidRPr="00525A93" w:rsidR="3F6667FA">
        <w:rPr>
          <w:noProof/>
          <w:lang w:val="es-CO"/>
        </w:rPr>
        <w:t>La cartografía social es una herramienta de construcción colectiva del conocimiento que permite representar el territorio desde la perspectiva de la comunidad.</w:t>
      </w:r>
    </w:p>
    <w:p w:rsidR="3F6667FA" w:rsidP="00525A93" w:rsidRDefault="3F6667FA" w14:paraId="169E4168" w14:textId="7E0BFE91">
      <w:pPr>
        <w:pStyle w:val="Normal"/>
        <w:spacing w:after="240" w:afterAutospacing="off" w:line="360" w:lineRule="auto"/>
        <w:jc w:val="both"/>
      </w:pPr>
      <w:r w:rsidRPr="00525A93" w:rsidR="3F6667FA">
        <w:rPr>
          <w:noProof/>
          <w:lang w:val="es-CO"/>
        </w:rPr>
        <w:t>A través de ejercicios grupales, los participantes identificarán en mapas los lugares más afectados por las interrupciones del servicio, las infraestructuras energéticas existentes, las zonas de importancia ambiental y cultural, los espacios de encuentro comunitario y las áreas prioritarias para el desarrollo de proyectos.</w:t>
      </w:r>
    </w:p>
    <w:p w:rsidR="3F6667FA" w:rsidP="00525A93" w:rsidRDefault="3F6667FA" w14:paraId="4F5FE3FA" w14:textId="7C640A94">
      <w:pPr>
        <w:pStyle w:val="Normal"/>
        <w:spacing w:after="240" w:afterAutospacing="off" w:line="360" w:lineRule="auto"/>
        <w:jc w:val="both"/>
      </w:pPr>
      <w:r w:rsidRPr="00525A93" w:rsidR="3F6667FA">
        <w:rPr>
          <w:noProof/>
          <w:lang w:val="es-CO"/>
        </w:rPr>
        <w:t>La cartografía social contribuirá a visibilizar las diferentes formas en que la comunidad percibe y habita el territorio, facilitando la identificación de oportunidades, conflictos y necesidades.</w:t>
      </w:r>
    </w:p>
    <w:p w:rsidR="3F6667FA" w:rsidP="00525A93" w:rsidRDefault="3F6667FA" w14:paraId="75F7E603" w14:textId="5F5FA0C4">
      <w:pPr>
        <w:pStyle w:val="Normal"/>
        <w:spacing w:after="240" w:afterAutospacing="off" w:line="360" w:lineRule="auto"/>
        <w:jc w:val="both"/>
      </w:pPr>
      <w:r w:rsidRPr="00525A93" w:rsidR="3F6667FA">
        <w:rPr>
          <w:noProof/>
          <w:lang w:val="es-CO"/>
        </w:rPr>
        <w:t>Los mapas elaborados serán considerados insumos de uso comunitario y servirán de apoyo para la construcción del diagnóstico y la definición de la hoja de ruta.</w:t>
      </w:r>
    </w:p>
    <w:p w:rsidR="3F6667FA" w:rsidP="00525A93" w:rsidRDefault="3F6667FA" w14:paraId="75EE8487" w14:textId="32AF8C65">
      <w:pPr>
        <w:pStyle w:val="Normal"/>
        <w:spacing w:after="240" w:afterAutospacing="off" w:line="360" w:lineRule="auto"/>
        <w:jc w:val="both"/>
        <w:rPr>
          <w:noProof/>
          <w:u w:val="single"/>
          <w:lang w:val="es-CO"/>
        </w:rPr>
      </w:pPr>
      <w:r w:rsidRPr="00525A93" w:rsidR="3F6667FA">
        <w:rPr>
          <w:noProof/>
          <w:u w:val="single"/>
          <w:lang w:val="es-CO"/>
        </w:rPr>
        <w:t>Asambleas comunitarias</w:t>
      </w:r>
    </w:p>
    <w:p w:rsidR="3F6667FA" w:rsidP="00525A93" w:rsidRDefault="3F6667FA" w14:paraId="1E9621DE" w14:textId="06B325CD">
      <w:pPr>
        <w:pStyle w:val="Normal"/>
        <w:spacing w:after="240" w:afterAutospacing="off" w:line="360" w:lineRule="auto"/>
        <w:jc w:val="both"/>
      </w:pPr>
      <w:r w:rsidRPr="00525A93" w:rsidR="3F6667FA">
        <w:rPr>
          <w:noProof/>
          <w:lang w:val="es-CO"/>
        </w:rPr>
        <w:t>Las asambleas comunitarias constituyen el principal espacio de deliberación, validación y toma de decisiones colectivas.</w:t>
      </w:r>
    </w:p>
    <w:p w:rsidR="3F6667FA" w:rsidP="00525A93" w:rsidRDefault="3F6667FA" w14:paraId="3BA1A291" w14:textId="08AFB139">
      <w:pPr>
        <w:pStyle w:val="Normal"/>
        <w:spacing w:after="240" w:afterAutospacing="off" w:line="360" w:lineRule="auto"/>
        <w:jc w:val="both"/>
      </w:pPr>
      <w:r w:rsidRPr="00525A93" w:rsidR="3F6667FA">
        <w:rPr>
          <w:noProof/>
          <w:lang w:val="es-CO"/>
        </w:rPr>
        <w:t>Su propósito es garantizar el acceso oportuno a la información, promover el diálogo entre los diferentes actores del territorio y facilitar la construcción de acuerdos.</w:t>
      </w:r>
    </w:p>
    <w:p w:rsidR="3F6667FA" w:rsidP="00525A93" w:rsidRDefault="3F6667FA" w14:paraId="3F9531C6" w14:textId="4E831803">
      <w:pPr>
        <w:pStyle w:val="Normal"/>
        <w:spacing w:after="240" w:afterAutospacing="off" w:line="360" w:lineRule="auto"/>
        <w:jc w:val="both"/>
      </w:pPr>
      <w:r w:rsidRPr="00525A93" w:rsidR="3F6667FA">
        <w:rPr>
          <w:noProof/>
          <w:lang w:val="es-CO"/>
        </w:rPr>
        <w:t>Durante las asambleas se presentarán los avances del proceso, se validarán los hallazgos del diagnóstico, se priorizarán acciones y se revisarán las propuestas incluidas en la hoja de ruta.</w:t>
      </w:r>
    </w:p>
    <w:p w:rsidR="3F6667FA" w:rsidP="00525A93" w:rsidRDefault="3F6667FA" w14:paraId="115C51A2" w14:textId="451262D9">
      <w:pPr>
        <w:pStyle w:val="Normal"/>
        <w:spacing w:after="240" w:afterAutospacing="off" w:line="360" w:lineRule="auto"/>
        <w:jc w:val="both"/>
      </w:pPr>
      <w:r w:rsidRPr="00525A93" w:rsidR="3F6667FA">
        <w:rPr>
          <w:noProof/>
          <w:lang w:val="es-CO"/>
        </w:rPr>
        <w:t>Estos espacios deberán desarrollarse mediante metodologías participativas, utilizando un lenguaje claro y accesible, y promoviendo la intervención equitativa de todos los participantes.</w:t>
      </w:r>
    </w:p>
    <w:p w:rsidR="3F6667FA" w:rsidP="00525A93" w:rsidRDefault="3F6667FA" w14:paraId="69CFD107" w14:textId="772082BE">
      <w:pPr>
        <w:pStyle w:val="Normal"/>
        <w:spacing w:after="240" w:afterAutospacing="off" w:line="360" w:lineRule="auto"/>
        <w:jc w:val="both"/>
      </w:pPr>
      <w:r w:rsidRPr="00525A93" w:rsidR="3F6667FA">
        <w:rPr>
          <w:noProof/>
          <w:lang w:val="es-CO"/>
        </w:rPr>
        <w:t>Cuando sea necesario, se implementarán mecanismos que faciliten la participación en lengua creole.</w:t>
      </w:r>
    </w:p>
    <w:p w:rsidR="3F6667FA" w:rsidP="00525A93" w:rsidRDefault="3F6667FA" w14:paraId="4C6F9E3B" w14:textId="24A26967">
      <w:pPr>
        <w:pStyle w:val="Normal"/>
        <w:spacing w:after="240" w:afterAutospacing="off" w:line="360" w:lineRule="auto"/>
        <w:jc w:val="both"/>
        <w:rPr>
          <w:noProof/>
          <w:u w:val="single"/>
          <w:lang w:val="es-CO"/>
        </w:rPr>
      </w:pPr>
      <w:r w:rsidRPr="00525A93" w:rsidR="3F6667FA">
        <w:rPr>
          <w:noProof/>
          <w:u w:val="single"/>
          <w:lang w:val="es-CO"/>
        </w:rPr>
        <w:t>Laboratorios de intercambio de conocimientos</w:t>
      </w:r>
    </w:p>
    <w:p w:rsidR="3F6667FA" w:rsidP="00525A93" w:rsidRDefault="3F6667FA" w14:paraId="1BEA42F2" w14:textId="1F35F9B2">
      <w:pPr>
        <w:pStyle w:val="Normal"/>
        <w:spacing w:after="240" w:afterAutospacing="off" w:line="360" w:lineRule="auto"/>
        <w:jc w:val="both"/>
      </w:pPr>
      <w:r w:rsidRPr="00525A93" w:rsidR="3F6667FA">
        <w:rPr>
          <w:noProof/>
          <w:lang w:val="es-CO"/>
        </w:rPr>
        <w:t>Los laboratorios de intercambio de conocimientos son espacios de encuentro entre el conocimiento técnico y los saberes locales.</w:t>
      </w:r>
    </w:p>
    <w:p w:rsidR="3F6667FA" w:rsidP="00525A93" w:rsidRDefault="3F6667FA" w14:paraId="1C09B826" w14:textId="673F8307">
      <w:pPr>
        <w:pStyle w:val="Normal"/>
        <w:spacing w:after="240" w:afterAutospacing="off" w:line="360" w:lineRule="auto"/>
        <w:jc w:val="both"/>
      </w:pPr>
      <w:r w:rsidRPr="00525A93" w:rsidR="3F6667FA">
        <w:rPr>
          <w:noProof/>
          <w:lang w:val="es-CO"/>
        </w:rPr>
        <w:t>Su objetivo es generar un diálogo horizontal que permita integrar la información producida por estudios técnicos con la experiencia acumulada por la comunidad sobre el territorio.</w:t>
      </w:r>
    </w:p>
    <w:p w:rsidR="3F6667FA" w:rsidP="00525A93" w:rsidRDefault="3F6667FA" w14:paraId="6FECCF0B" w14:textId="58AFC90D">
      <w:pPr>
        <w:pStyle w:val="Normal"/>
        <w:spacing w:after="240" w:afterAutospacing="off" w:line="360" w:lineRule="auto"/>
        <w:jc w:val="both"/>
      </w:pPr>
      <w:r w:rsidRPr="00525A93" w:rsidR="3F6667FA">
        <w:rPr>
          <w:noProof/>
          <w:lang w:val="es-CO"/>
        </w:rPr>
        <w:t>En estos espacios, los equipos técnicos presentarán información relacionada con el potencial energético, la demanda y las alternativas tecnológicas, mientras que la comunidad compartirá sus conocimientos sobre los vientos, las dinámicas del mar, los patrones de consumo y las formas tradicionales de gestión del territorio.</w:t>
      </w:r>
    </w:p>
    <w:p w:rsidR="3F6667FA" w:rsidP="00525A93" w:rsidRDefault="3F6667FA" w14:paraId="70502C5F" w14:textId="2C009FA5">
      <w:pPr>
        <w:pStyle w:val="Normal"/>
        <w:spacing w:after="240" w:afterAutospacing="off" w:line="360" w:lineRule="auto"/>
        <w:jc w:val="both"/>
      </w:pPr>
      <w:r w:rsidRPr="00525A93" w:rsidR="3F6667FA">
        <w:rPr>
          <w:noProof/>
          <w:lang w:val="es-CO"/>
        </w:rPr>
        <w:t>Este intercambio permitirá identificar convergencias, complementar la información disponible y fortalecer la pertinencia social y cultural de las decisiones.</w:t>
      </w:r>
    </w:p>
    <w:p w:rsidR="3F6667FA" w:rsidP="00525A93" w:rsidRDefault="3F6667FA" w14:paraId="7624E22C" w14:textId="5CC25BCA">
      <w:pPr>
        <w:pStyle w:val="Normal"/>
        <w:spacing w:after="240" w:afterAutospacing="off" w:line="360" w:lineRule="auto"/>
        <w:jc w:val="both"/>
        <w:rPr>
          <w:noProof/>
          <w:u w:val="single"/>
          <w:lang w:val="es-CO"/>
        </w:rPr>
      </w:pPr>
      <w:r w:rsidRPr="00525A93" w:rsidR="3F6667FA">
        <w:rPr>
          <w:noProof/>
          <w:u w:val="single"/>
          <w:lang w:val="es-CO"/>
        </w:rPr>
        <w:t>Talleres de co-creación</w:t>
      </w:r>
    </w:p>
    <w:p w:rsidR="3F6667FA" w:rsidP="00525A93" w:rsidRDefault="3F6667FA" w14:paraId="1DFEFD03" w14:textId="39B7CFED">
      <w:pPr>
        <w:pStyle w:val="Normal"/>
        <w:spacing w:after="240" w:afterAutospacing="off" w:line="360" w:lineRule="auto"/>
        <w:jc w:val="both"/>
      </w:pPr>
      <w:r w:rsidRPr="00525A93" w:rsidR="3F6667FA">
        <w:rPr>
          <w:noProof/>
          <w:lang w:val="es-CO"/>
        </w:rPr>
        <w:t>Los talleres de co-creación son espacios participativos orientados al diseño colectivo de soluciones y estrategias para la transición energética.</w:t>
      </w:r>
    </w:p>
    <w:p w:rsidR="3F6667FA" w:rsidP="00525A93" w:rsidRDefault="3F6667FA" w14:paraId="6E6A89E2" w14:textId="73D6CCCC">
      <w:pPr>
        <w:pStyle w:val="Normal"/>
        <w:spacing w:after="240" w:afterAutospacing="off" w:line="360" w:lineRule="auto"/>
        <w:jc w:val="both"/>
      </w:pPr>
      <w:r w:rsidRPr="00525A93" w:rsidR="3F6667FA">
        <w:rPr>
          <w:noProof/>
          <w:lang w:val="es-CO"/>
        </w:rPr>
        <w:t>Durante estos encuentros, la comunidad y los equipos técnicos trabajarán conjuntamente en la definición de prioridades, proyectos, mecanismos de gobernanza, estrategias de implementación e indicadores de seguimiento.</w:t>
      </w:r>
    </w:p>
    <w:p w:rsidR="3F6667FA" w:rsidP="00525A93" w:rsidRDefault="3F6667FA" w14:paraId="661D3B14" w14:textId="34E2B40B">
      <w:pPr>
        <w:pStyle w:val="Normal"/>
        <w:spacing w:after="240" w:afterAutospacing="off" w:line="360" w:lineRule="auto"/>
        <w:jc w:val="both"/>
      </w:pPr>
      <w:r w:rsidRPr="00525A93" w:rsidR="3F6667FA">
        <w:rPr>
          <w:noProof/>
          <w:lang w:val="es-CO"/>
        </w:rPr>
        <w:t>Los talleres promoverán la construcción de acuerdos y la identificación de alternativas que respondan a las características sociales, culturales y ambientales del territorio.</w:t>
      </w:r>
    </w:p>
    <w:p w:rsidR="3F6667FA" w:rsidP="00525A93" w:rsidRDefault="3F6667FA" w14:paraId="1C8D655F" w14:textId="59248828">
      <w:pPr>
        <w:pStyle w:val="Normal"/>
        <w:spacing w:after="240" w:afterAutospacing="off" w:line="360" w:lineRule="auto"/>
        <w:jc w:val="both"/>
      </w:pPr>
      <w:r w:rsidRPr="00525A93" w:rsidR="3F6667FA">
        <w:rPr>
          <w:noProof/>
          <w:lang w:val="es-CO"/>
        </w:rPr>
        <w:t>Asimismo, facilitarán la apropiación comunitaria de la hoja de ruta y fortalecerán las capacidades locales para la gestión de los proyectos.</w:t>
      </w:r>
    </w:p>
    <w:p w:rsidR="3F6667FA" w:rsidP="00525A93" w:rsidRDefault="3F6667FA" w14:paraId="60181A8D" w14:textId="692AB2FA">
      <w:pPr>
        <w:pStyle w:val="Normal"/>
        <w:spacing w:after="240" w:afterAutospacing="off" w:line="360" w:lineRule="auto"/>
        <w:jc w:val="both"/>
        <w:rPr>
          <w:noProof/>
          <w:u w:val="single"/>
          <w:lang w:val="es-CO"/>
        </w:rPr>
      </w:pPr>
      <w:r w:rsidRPr="00525A93" w:rsidR="3F6667FA">
        <w:rPr>
          <w:noProof/>
          <w:u w:val="single"/>
          <w:lang w:val="es-CO"/>
        </w:rPr>
        <w:t>Veedurías y seguimiento comunitario</w:t>
      </w:r>
    </w:p>
    <w:p w:rsidR="3F6667FA" w:rsidP="00525A93" w:rsidRDefault="3F6667FA" w14:paraId="5098A520" w14:textId="3E5496C5">
      <w:pPr>
        <w:pStyle w:val="Normal"/>
        <w:spacing w:after="240" w:afterAutospacing="off" w:line="360" w:lineRule="auto"/>
        <w:jc w:val="both"/>
      </w:pPr>
      <w:r w:rsidRPr="00525A93" w:rsidR="3F6667FA">
        <w:rPr>
          <w:noProof/>
          <w:lang w:val="es-CO"/>
        </w:rPr>
        <w:t>El seguimiento comunitario se desarrollará mediante mecanismos de participación que permitan a la población monitorear los avances del PTEJ y formular recomendaciones para su mejora continua.</w:t>
      </w:r>
    </w:p>
    <w:p w:rsidR="3F6667FA" w:rsidP="00525A93" w:rsidRDefault="3F6667FA" w14:paraId="555212AC" w14:textId="57015322">
      <w:pPr>
        <w:pStyle w:val="Normal"/>
        <w:spacing w:after="240" w:afterAutospacing="off" w:line="360" w:lineRule="auto"/>
        <w:jc w:val="both"/>
      </w:pPr>
      <w:r w:rsidRPr="00525A93" w:rsidR="3F6667FA">
        <w:rPr>
          <w:noProof/>
          <w:lang w:val="es-CO"/>
        </w:rPr>
        <w:t>Para ello, se promoverá la conformación de espacios de veeduría y seguimiento que faciliten el acceso a la información, la rendición de cuentas y la evaluación participativa del proceso.</w:t>
      </w:r>
    </w:p>
    <w:p w:rsidR="3F6667FA" w:rsidP="00525A93" w:rsidRDefault="3F6667FA" w14:paraId="2E59A4E7" w14:textId="467A63C2">
      <w:pPr>
        <w:pStyle w:val="Normal"/>
        <w:spacing w:after="240" w:afterAutospacing="off" w:line="360" w:lineRule="auto"/>
        <w:jc w:val="both"/>
      </w:pPr>
      <w:r w:rsidRPr="00525A93" w:rsidR="3F6667FA">
        <w:rPr>
          <w:noProof/>
          <w:lang w:val="es-CO"/>
        </w:rPr>
        <w:t>Estos espacios contribuirán a fortalecer la transparencia, la confianza entre los actores involucrados y la sostenibilidad de las acciones implementadas.</w:t>
      </w:r>
    </w:p>
    <w:p w:rsidR="3F6667FA" w:rsidP="00525A93" w:rsidRDefault="3F6667FA" w14:paraId="213ED864" w14:textId="699B7BE1">
      <w:pPr>
        <w:pStyle w:val="Normal"/>
        <w:spacing w:after="240" w:afterAutospacing="off" w:line="360" w:lineRule="auto"/>
        <w:jc w:val="both"/>
        <w:rPr>
          <w:noProof/>
          <w:u w:val="single"/>
          <w:lang w:val="es-CO"/>
        </w:rPr>
      </w:pPr>
      <w:r w:rsidRPr="00525A93" w:rsidR="3F6667FA">
        <w:rPr>
          <w:noProof/>
          <w:u w:val="single"/>
          <w:lang w:val="es-CO"/>
        </w:rPr>
        <w:t>Memoria colectiva y sistematización de experiencias</w:t>
      </w:r>
    </w:p>
    <w:p w:rsidR="3F6667FA" w:rsidP="00525A93" w:rsidRDefault="3F6667FA" w14:paraId="233E29F1" w14:textId="5AE95FE4">
      <w:pPr>
        <w:pStyle w:val="Normal"/>
        <w:spacing w:after="240" w:afterAutospacing="off" w:line="360" w:lineRule="auto"/>
        <w:jc w:val="both"/>
      </w:pPr>
      <w:r w:rsidRPr="00525A93" w:rsidR="3F6667FA">
        <w:rPr>
          <w:noProof/>
          <w:lang w:val="es-CO"/>
        </w:rPr>
        <w:t>La construcción de memoria colectiva permitirá documentar los aprendizajes, desafíos y transformaciones derivadas del proceso de transición energética.</w:t>
      </w:r>
    </w:p>
    <w:p w:rsidR="3F6667FA" w:rsidP="00525A93" w:rsidRDefault="3F6667FA" w14:paraId="66819D36" w14:textId="0C24EA5A">
      <w:pPr>
        <w:pStyle w:val="Normal"/>
        <w:spacing w:after="240" w:afterAutospacing="off" w:line="360" w:lineRule="auto"/>
        <w:jc w:val="both"/>
      </w:pPr>
      <w:r w:rsidRPr="00525A93" w:rsidR="3F6667FA">
        <w:rPr>
          <w:noProof/>
          <w:lang w:val="es-CO"/>
        </w:rPr>
        <w:t>Para ello, se recopilarán testimonios, registros audiovisuales, relatos comunitarios, actas, fotografías y otros materiales que contribuyan a preservar la experiencia del territorio.</w:t>
      </w:r>
    </w:p>
    <w:p w:rsidR="3F6667FA" w:rsidP="00525A93" w:rsidRDefault="3F6667FA" w14:paraId="3AD8A04E" w14:textId="65F232B7">
      <w:pPr>
        <w:pStyle w:val="Normal"/>
        <w:spacing w:after="240" w:afterAutospacing="off" w:line="360" w:lineRule="auto"/>
        <w:jc w:val="both"/>
      </w:pPr>
      <w:r w:rsidRPr="00525A93" w:rsidR="3F6667FA">
        <w:rPr>
          <w:noProof/>
          <w:lang w:val="es-CO"/>
        </w:rPr>
        <w:t>La sistematización de esta información facilitará la evaluación del proceso, la transferencia de conocimientos entre generaciones y la consolidación de una base de aprendizajes para futuras iniciativas.</w:t>
      </w:r>
    </w:p>
    <w:p w:rsidR="3F6667FA" w:rsidP="00525A93" w:rsidRDefault="3F6667FA" w14:paraId="06C15260" w14:textId="50B4698A">
      <w:pPr>
        <w:pStyle w:val="Normal"/>
        <w:spacing w:after="240" w:afterAutospacing="off" w:line="360" w:lineRule="auto"/>
        <w:jc w:val="both"/>
      </w:pPr>
      <w:r w:rsidRPr="00525A93" w:rsidR="3F6667FA">
        <w:rPr>
          <w:noProof/>
          <w:lang w:val="es-CO"/>
        </w:rPr>
        <w:t>Asimismo, contribuirá al reconocimiento de la resiliencia comunitaria y al fortalecimiento de la identidad territorial en el contexto de reconstrucción posterior al huracán IOTA.</w:t>
      </w:r>
    </w:p>
    <w:p w:rsidR="3F6667FA" w:rsidP="00525A93" w:rsidRDefault="3F6667FA" w14:paraId="33601B79" w14:textId="6A5C614B">
      <w:pPr>
        <w:pStyle w:val="Normal"/>
        <w:spacing w:after="240" w:afterAutospacing="off" w:line="360" w:lineRule="auto"/>
        <w:jc w:val="both"/>
        <w:rPr>
          <w:b w:val="1"/>
          <w:bCs w:val="1"/>
          <w:noProof/>
          <w:lang w:val="es-CO"/>
        </w:rPr>
      </w:pPr>
      <w:r w:rsidRPr="00525A93" w:rsidR="3F6667FA">
        <w:rPr>
          <w:b w:val="1"/>
          <w:bCs w:val="1"/>
          <w:noProof/>
          <w:lang w:val="es-CO"/>
        </w:rPr>
        <w:t>Articulación de las herramientas metodológicas con los momentos del proceso</w:t>
      </w:r>
    </w:p>
    <w:p w:rsidR="3F6667FA" w:rsidP="00525A93" w:rsidRDefault="3F6667FA" w14:paraId="5B9D2D35" w14:textId="56847130">
      <w:pPr>
        <w:pStyle w:val="Normal"/>
        <w:spacing w:after="240" w:afterAutospacing="off" w:line="360" w:lineRule="auto"/>
        <w:jc w:val="both"/>
      </w:pPr>
      <w:r w:rsidRPr="00525A93" w:rsidR="3F6667FA">
        <w:rPr>
          <w:noProof/>
          <w:lang w:val="es-CO"/>
        </w:rPr>
        <w:t>Las herramientas descritas se implementarán de manera complementaria en cada uno de los momentos metodológicos.</w:t>
      </w:r>
    </w:p>
    <w:p w:rsidR="3F6667FA" w:rsidP="00525A93" w:rsidRDefault="3F6667FA" w14:paraId="355B89BE" w14:textId="4C2C1843">
      <w:pPr>
        <w:pStyle w:val="Prrafodelista"/>
        <w:numPr>
          <w:ilvl w:val="0"/>
          <w:numId w:val="8"/>
        </w:numPr>
        <w:spacing w:after="240" w:afterAutospacing="off" w:line="360" w:lineRule="auto"/>
        <w:jc w:val="both"/>
        <w:rPr>
          <w:noProof/>
          <w:lang w:val="es-CO"/>
        </w:rPr>
      </w:pPr>
      <w:r w:rsidRPr="00525A93" w:rsidR="3F6667FA">
        <w:rPr>
          <w:noProof/>
          <w:lang w:val="es-CO"/>
        </w:rPr>
        <w:t>En el Momento I, se priorizarán las entrevistas abiertas, la observación participante, los recorridos territoriales y la cartografía social.</w:t>
      </w:r>
    </w:p>
    <w:p w:rsidR="3F6667FA" w:rsidP="00525A93" w:rsidRDefault="3F6667FA" w14:paraId="48DD5631" w14:textId="5B6EA05F">
      <w:pPr>
        <w:pStyle w:val="Prrafodelista"/>
        <w:numPr>
          <w:ilvl w:val="0"/>
          <w:numId w:val="8"/>
        </w:numPr>
        <w:spacing w:after="240" w:afterAutospacing="off" w:line="360" w:lineRule="auto"/>
        <w:jc w:val="both"/>
        <w:rPr>
          <w:noProof/>
          <w:lang w:val="es-CO"/>
        </w:rPr>
      </w:pPr>
      <w:r w:rsidRPr="00525A93" w:rsidR="3F6667FA">
        <w:rPr>
          <w:noProof/>
          <w:lang w:val="es-CO"/>
        </w:rPr>
        <w:t>En el Momento II, se desarrollarán principalmente asambleas comunitarias</w:t>
      </w:r>
      <w:r w:rsidRPr="00525A93" w:rsidR="4C75A30C">
        <w:rPr>
          <w:noProof/>
          <w:lang w:val="es-CO"/>
        </w:rPr>
        <w:t xml:space="preserve"> </w:t>
      </w:r>
      <w:r w:rsidRPr="00525A93" w:rsidR="3F6667FA">
        <w:rPr>
          <w:noProof/>
          <w:lang w:val="es-CO"/>
        </w:rPr>
        <w:t>y laboratorios de intercambio de conocimientos.</w:t>
      </w:r>
    </w:p>
    <w:p w:rsidR="3F6667FA" w:rsidP="00525A93" w:rsidRDefault="3F6667FA" w14:paraId="25D8029F" w14:textId="61D1CDE4">
      <w:pPr>
        <w:pStyle w:val="Prrafodelista"/>
        <w:numPr>
          <w:ilvl w:val="0"/>
          <w:numId w:val="8"/>
        </w:numPr>
        <w:spacing w:after="240" w:afterAutospacing="off" w:line="360" w:lineRule="auto"/>
        <w:jc w:val="both"/>
        <w:rPr>
          <w:noProof/>
          <w:lang w:val="es-CO"/>
        </w:rPr>
      </w:pPr>
      <w:r w:rsidRPr="00525A93" w:rsidR="3F6667FA">
        <w:rPr>
          <w:noProof/>
          <w:lang w:val="es-CO"/>
        </w:rPr>
        <w:t>En el Momento III, se fortalecerá el uso de talleres de co-creación y espacios de concertación para el diseño participativo de la hoja de ruta.</w:t>
      </w:r>
    </w:p>
    <w:p w:rsidR="3F6667FA" w:rsidP="00525A93" w:rsidRDefault="3F6667FA" w14:paraId="5D5FD300" w14:textId="227770B4">
      <w:pPr>
        <w:pStyle w:val="Prrafodelista"/>
        <w:numPr>
          <w:ilvl w:val="0"/>
          <w:numId w:val="8"/>
        </w:numPr>
        <w:spacing w:after="240" w:afterAutospacing="off" w:line="360" w:lineRule="auto"/>
        <w:jc w:val="both"/>
        <w:rPr>
          <w:noProof/>
          <w:lang w:val="es-CO"/>
        </w:rPr>
      </w:pPr>
      <w:r w:rsidRPr="00525A93" w:rsidR="3F6667FA">
        <w:rPr>
          <w:noProof/>
          <w:lang w:val="es-CO"/>
        </w:rPr>
        <w:t>Finalmente, en el Momento IV, se implementarán mecanismos de veeduría comunitaria, seguimiento participativo y construcción de memoria colectiva.</w:t>
      </w:r>
    </w:p>
    <w:p w:rsidR="3F6667FA" w:rsidP="00525A93" w:rsidRDefault="3F6667FA" w14:paraId="3AF76825" w14:textId="25B9EE43">
      <w:pPr>
        <w:pStyle w:val="Normal"/>
        <w:spacing w:after="240" w:afterAutospacing="off" w:line="360" w:lineRule="auto"/>
        <w:jc w:val="both"/>
      </w:pPr>
      <w:r w:rsidRPr="00525A93" w:rsidR="3F6667FA">
        <w:rPr>
          <w:noProof/>
          <w:lang w:val="es-CO"/>
        </w:rPr>
        <w:t>La combinación de estas herramientas permitirá consolidar un proceso de transición energética basado en la confianza, el reconocimiento de los saberes locales y la participación efectiva de la comunidad en la toma de decisiones.</w:t>
      </w:r>
    </w:p>
    <w:p w:rsidR="00525A93" w:rsidP="00525A93" w:rsidRDefault="00525A93" w14:paraId="22DFA25A" w14:textId="5CA1FDD0">
      <w:pPr>
        <w:pStyle w:val="Normal"/>
        <w:spacing w:after="240" w:afterAutospacing="off" w:line="360" w:lineRule="auto"/>
        <w:jc w:val="both"/>
        <w:rPr>
          <w:noProof/>
          <w:lang w:val="es-CO"/>
        </w:rPr>
      </w:pPr>
    </w:p>
    <w:p w:rsidR="00525A93" w:rsidP="00525A93" w:rsidRDefault="00525A93" w14:paraId="155E2833" w14:textId="73145A4F">
      <w:pPr>
        <w:spacing w:before="240" w:beforeAutospacing="off" w:after="180" w:afterAutospacing="off" w:line="360" w:lineRule="auto"/>
        <w:jc w:val="both"/>
        <w:rPr>
          <w:rFonts w:ascii="Times New Roman" w:hAnsi="Times New Roman" w:eastAsia="Times New Roman" w:cs="Times New Roman"/>
          <w:b w:val="1"/>
          <w:bCs w:val="1"/>
          <w:noProof/>
          <w:color w:val="auto"/>
          <w:sz w:val="24"/>
          <w:szCs w:val="24"/>
          <w:lang w:val="es-CO"/>
        </w:rPr>
      </w:pPr>
    </w:p>
    <w:p w:rsidR="00525A93" w:rsidP="00525A93" w:rsidRDefault="00525A93" w14:paraId="76CD4FDC" w14:textId="2B732960">
      <w:pPr>
        <w:pStyle w:val="Normal"/>
        <w:spacing w:before="36" w:beforeAutospacing="off" w:after="36" w:afterAutospacing="off"/>
        <w:ind w:left="0" w:right="0" w:hanging="0"/>
        <w:jc w:val="both"/>
        <w:rPr>
          <w:rFonts w:ascii="Times New Roman" w:hAnsi="Times New Roman" w:eastAsia="Times New Roman" w:cs="Times New Roman"/>
          <w:noProof/>
          <w:sz w:val="24"/>
          <w:szCs w:val="24"/>
          <w:lang w:val="es-CO"/>
        </w:rPr>
      </w:pPr>
    </w:p>
    <w:p w:rsidR="00525A93" w:rsidP="00525A93" w:rsidRDefault="00525A93" w14:paraId="301153BB" w14:textId="76BCE93D">
      <w:pPr>
        <w:pStyle w:val="Normal"/>
        <w:ind w:left="0"/>
        <w:jc w:val="both"/>
        <w:rPr>
          <w:rFonts w:ascii="Times New Roman" w:hAnsi="Times New Roman" w:eastAsia="Times New Roman" w:cs="Times New Roman"/>
          <w:b w:val="1"/>
          <w:bCs w:val="1"/>
          <w:sz w:val="24"/>
          <w:szCs w:val="24"/>
        </w:rPr>
      </w:pPr>
    </w:p>
    <w:p w:rsidR="009C2B5E" w:rsidP="00525A93" w:rsidRDefault="009C2B5E" w14:paraId="36D7AEF7" w14:textId="77777777">
      <w:pPr>
        <w:rPr>
          <w:rFonts w:ascii="Times New Roman" w:hAnsi="Times New Roman" w:eastAsia="Times New Roman" w:cs="Times New Roman"/>
          <w:sz w:val="24"/>
          <w:szCs w:val="24"/>
        </w:rPr>
      </w:pPr>
    </w:p>
    <w:sectPr w:rsidR="009C2B5E" w:rsidSect="009C2B5E">
      <w:pgSz w:w="11906" w:h="16838" w:orient="portrait"/>
      <w:pgMar w:top="1200" w:right="1200" w:bottom="1200" w:left="1200" w:header="708" w:footer="708" w:gutter="0"/>
      <w:cols w:space="720"/>
      <w:docGrid w:linePitch="360"/>
      <w:headerReference w:type="default" r:id="Rade6d58853504a62"/>
      <w:footerReference w:type="default" r:id="R00357fffc60b4a4a"/>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anormal"/>
      <w:bidiVisual w:val="0"/>
      <w:tblW w:w="0" w:type="auto"/>
      <w:tblLook w:val="06A0" w:firstRow="1" w:lastRow="0" w:firstColumn="1" w:lastColumn="0" w:noHBand="1" w:noVBand="1"/>
    </w:tblPr>
    <w:tblGrid>
      <w:gridCol w:w="3165"/>
      <w:gridCol w:w="3165"/>
      <w:gridCol w:w="3165"/>
    </w:tblGrid>
    <w:tr w:rsidR="00525A93" w:rsidTr="00525A93" w14:paraId="662DEFD4">
      <w:trPr>
        <w:trHeight w:val="300"/>
      </w:trPr>
      <w:tc>
        <w:tcPr>
          <w:tcW w:w="3165" w:type="dxa"/>
          <w:tcMar/>
        </w:tcPr>
        <w:p w:rsidR="00525A93" w:rsidP="00525A93" w:rsidRDefault="00525A93" w14:paraId="64C163D2" w14:textId="0243E208">
          <w:pPr>
            <w:pStyle w:val="Header"/>
            <w:bidi w:val="0"/>
            <w:ind w:left="-115"/>
            <w:jc w:val="left"/>
          </w:pPr>
        </w:p>
      </w:tc>
      <w:tc>
        <w:tcPr>
          <w:tcW w:w="3165" w:type="dxa"/>
          <w:tcMar/>
        </w:tcPr>
        <w:p w:rsidR="00525A93" w:rsidP="00525A93" w:rsidRDefault="00525A93" w14:paraId="2F7787D7" w14:textId="53125670">
          <w:pPr>
            <w:pStyle w:val="Header"/>
            <w:bidi w:val="0"/>
            <w:jc w:val="center"/>
          </w:pPr>
        </w:p>
      </w:tc>
      <w:tc>
        <w:tcPr>
          <w:tcW w:w="3165" w:type="dxa"/>
          <w:tcMar/>
        </w:tcPr>
        <w:p w:rsidR="00525A93" w:rsidP="00525A93" w:rsidRDefault="00525A93" w14:paraId="6BB8AB7D" w14:textId="75A44D0F">
          <w:pPr>
            <w:pStyle w:val="Header"/>
            <w:bidi w:val="0"/>
            <w:ind w:right="-115"/>
            <w:jc w:val="right"/>
          </w:pPr>
        </w:p>
      </w:tc>
    </w:tr>
  </w:tbl>
  <w:p w:rsidR="00525A93" w:rsidP="00525A93" w:rsidRDefault="00525A93" w14:paraId="1691315D" w14:textId="46764BFC">
    <w:pPr>
      <w:pStyle w:val="Footer"/>
      <w:bidi w:val="0"/>
    </w:pPr>
  </w:p>
</w:ftr>
</file>

<file path=word/header.xml><?xml version="1.0" encoding="utf-8"?>
<w:hdr xmlns:w14="http://schemas.microsoft.com/office/word/2010/wordml" xmlns:w="http://schemas.openxmlformats.org/wordprocessingml/2006/main">
  <w:tbl>
    <w:tblPr>
      <w:tblStyle w:val="Tablanormal"/>
      <w:bidiVisual w:val="0"/>
      <w:tblW w:w="0" w:type="auto"/>
      <w:tblLook w:val="06A0" w:firstRow="1" w:lastRow="0" w:firstColumn="1" w:lastColumn="0" w:noHBand="1" w:noVBand="1"/>
    </w:tblPr>
    <w:tblGrid>
      <w:gridCol w:w="3165"/>
      <w:gridCol w:w="3165"/>
      <w:gridCol w:w="3165"/>
    </w:tblGrid>
    <w:tr w:rsidR="00525A93" w:rsidTr="00525A93" w14:paraId="7735FA8F">
      <w:trPr>
        <w:trHeight w:val="300"/>
      </w:trPr>
      <w:tc>
        <w:tcPr>
          <w:tcW w:w="3165" w:type="dxa"/>
          <w:tcMar/>
        </w:tcPr>
        <w:p w:rsidR="00525A93" w:rsidP="00525A93" w:rsidRDefault="00525A93" w14:paraId="6F76FF2E" w14:textId="79B57EFA">
          <w:pPr>
            <w:pStyle w:val="Header"/>
            <w:bidi w:val="0"/>
            <w:ind w:left="-115"/>
            <w:jc w:val="left"/>
          </w:pPr>
        </w:p>
      </w:tc>
      <w:tc>
        <w:tcPr>
          <w:tcW w:w="3165" w:type="dxa"/>
          <w:tcMar/>
        </w:tcPr>
        <w:p w:rsidR="00525A93" w:rsidP="00525A93" w:rsidRDefault="00525A93" w14:paraId="3A75F1F2" w14:textId="4A511492">
          <w:pPr>
            <w:pStyle w:val="Header"/>
            <w:bidi w:val="0"/>
            <w:jc w:val="center"/>
          </w:pPr>
        </w:p>
      </w:tc>
      <w:tc>
        <w:tcPr>
          <w:tcW w:w="3165" w:type="dxa"/>
          <w:tcMar/>
        </w:tcPr>
        <w:p w:rsidR="00525A93" w:rsidP="00525A93" w:rsidRDefault="00525A93" w14:paraId="11C3C27E" w14:textId="0DEB4D0F">
          <w:pPr>
            <w:pStyle w:val="Header"/>
            <w:bidi w:val="0"/>
            <w:ind w:right="-115"/>
            <w:jc w:val="right"/>
          </w:pPr>
        </w:p>
      </w:tc>
    </w:tr>
  </w:tbl>
  <w:p w:rsidR="00525A93" w:rsidP="00525A93" w:rsidRDefault="00525A93" w14:paraId="40DCBE25" w14:textId="6E90675D">
    <w:pPr>
      <w:pStyle w:val="Header"/>
      <w:bidi w:val="0"/>
    </w:pPr>
  </w:p>
</w:hdr>
</file>

<file path=word/intelligence2.xml><?xml version="1.0" encoding="utf-8"?>
<int2:intelligence xmlns:int2="http://schemas.microsoft.com/office/intelligence/2020/intelligence">
  <int2:observations>
    <int2:textHash int2:hashCode="6O+g9wbJd4fd8d" int2:id="OeeOaV4a">
      <int2:state int2:type="spell" int2:value="Rejected"/>
    </int2:textHash>
  </int2:observations>
  <int2:intelligenceSettings/>
</int2:intelligence>
</file>

<file path=word/numbering.xml><?xml version="1.0" encoding="utf-8"?>
<w:numbering xmlns:w="http://schemas.openxmlformats.org/wordprocessingml/2006/main">
  <w:abstractNum xmlns:w="http://schemas.openxmlformats.org/wordprocessingml/2006/main" w:abstractNumId="8">
    <w:nsid w:val="61ab9e3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6c92301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23f207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26196a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5de2fb0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3514af9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704c7e4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051137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B5E"/>
    <w:rsid w:val="00525A93"/>
    <w:rsid w:val="007F3506"/>
    <w:rsid w:val="009C2B5E"/>
    <w:rsid w:val="01976C85"/>
    <w:rsid w:val="01F6469C"/>
    <w:rsid w:val="025001F6"/>
    <w:rsid w:val="03964390"/>
    <w:rsid w:val="0687BA8E"/>
    <w:rsid w:val="068866CD"/>
    <w:rsid w:val="0C6FA89E"/>
    <w:rsid w:val="0CC8A1B1"/>
    <w:rsid w:val="0D65655E"/>
    <w:rsid w:val="0D9D5216"/>
    <w:rsid w:val="0E6F28FA"/>
    <w:rsid w:val="109A220A"/>
    <w:rsid w:val="1174A32F"/>
    <w:rsid w:val="117FFFD6"/>
    <w:rsid w:val="13F067E1"/>
    <w:rsid w:val="16A3D531"/>
    <w:rsid w:val="1987C3B2"/>
    <w:rsid w:val="1BC9C515"/>
    <w:rsid w:val="1DF035F4"/>
    <w:rsid w:val="21A45719"/>
    <w:rsid w:val="2366B0AF"/>
    <w:rsid w:val="23C22E41"/>
    <w:rsid w:val="24640ACB"/>
    <w:rsid w:val="248604B5"/>
    <w:rsid w:val="25E5A673"/>
    <w:rsid w:val="2B13E44E"/>
    <w:rsid w:val="2D7BD753"/>
    <w:rsid w:val="2E2643E0"/>
    <w:rsid w:val="2F93B2F9"/>
    <w:rsid w:val="32427E41"/>
    <w:rsid w:val="34202644"/>
    <w:rsid w:val="35FEE252"/>
    <w:rsid w:val="368A6EAC"/>
    <w:rsid w:val="37FD6DCB"/>
    <w:rsid w:val="3A45D466"/>
    <w:rsid w:val="3D310AC9"/>
    <w:rsid w:val="3F6667FA"/>
    <w:rsid w:val="4166EEE8"/>
    <w:rsid w:val="41B6934B"/>
    <w:rsid w:val="423B669E"/>
    <w:rsid w:val="4369AECB"/>
    <w:rsid w:val="44082B98"/>
    <w:rsid w:val="471AAD7E"/>
    <w:rsid w:val="4A588185"/>
    <w:rsid w:val="4A7B4A52"/>
    <w:rsid w:val="4B23ADA3"/>
    <w:rsid w:val="4B8D2552"/>
    <w:rsid w:val="4C75A30C"/>
    <w:rsid w:val="4E505536"/>
    <w:rsid w:val="503E407E"/>
    <w:rsid w:val="50F81BE2"/>
    <w:rsid w:val="5282945C"/>
    <w:rsid w:val="52CAB9D4"/>
    <w:rsid w:val="53855D69"/>
    <w:rsid w:val="5504801D"/>
    <w:rsid w:val="58C3B8D9"/>
    <w:rsid w:val="5CA2E189"/>
    <w:rsid w:val="5D891D60"/>
    <w:rsid w:val="5EEA08AC"/>
    <w:rsid w:val="5F4CE7DB"/>
    <w:rsid w:val="5F8D1959"/>
    <w:rsid w:val="61383AF6"/>
    <w:rsid w:val="63420CBB"/>
    <w:rsid w:val="63B223FC"/>
    <w:rsid w:val="63EA1220"/>
    <w:rsid w:val="657289C3"/>
    <w:rsid w:val="68C9777C"/>
    <w:rsid w:val="68E0F9C8"/>
    <w:rsid w:val="6AE169E9"/>
    <w:rsid w:val="6C1EACD4"/>
    <w:rsid w:val="6CA69B6F"/>
    <w:rsid w:val="6CC162B9"/>
    <w:rsid w:val="6D7E3E55"/>
    <w:rsid w:val="6DC46A59"/>
    <w:rsid w:val="6E15A73D"/>
    <w:rsid w:val="70E82608"/>
    <w:rsid w:val="7311DDAF"/>
    <w:rsid w:val="745706F4"/>
    <w:rsid w:val="75D0AB46"/>
    <w:rsid w:val="76666798"/>
    <w:rsid w:val="773E59CC"/>
    <w:rsid w:val="77BFA5B2"/>
    <w:rsid w:val="77DCABEF"/>
    <w:rsid w:val="78AB1B87"/>
    <w:rsid w:val="7AB4A9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1FAF"/>
  <w15:chartTrackingRefBased/>
  <w15:docId w15:val="{3198BD56-917E-4A9E-B70A-2C6BB5A97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uiPriority w:val="0"/>
    <w:name w:val="Normal"/>
    <w:qFormat/>
    <w:rsid w:val="00525A93"/>
    <w:rPr>
      <w:rFonts w:ascii="Georgia" w:hAnsi="Georgia" w:eastAsia="Georgia" w:cs="Georgia"/>
      <w:noProof/>
      <w:color w:val="1C1C1C"/>
      <w:sz w:val="22"/>
      <w:szCs w:val="22"/>
      <w:lang w:eastAsia="es-CO"/>
    </w:rPr>
    <w:pPr>
      <w:spacing w:after="0"/>
    </w:pPr>
  </w:style>
  <w:style w:type="paragraph" w:styleId="Ttulo1">
    <w:uiPriority w:val="9"/>
    <w:name w:val="heading 1"/>
    <w:basedOn w:val="Normal"/>
    <w:next w:val="Normal"/>
    <w:link w:val="Ttulo1Car"/>
    <w:qFormat/>
    <w:rsid w:val="00525A93"/>
    <w:rPr>
      <w:rFonts w:ascii="Aptos Display" w:hAnsi="Aptos Display" w:eastAsia="" w:cs="" w:asciiTheme="majorAscii" w:hAnsiTheme="majorAscii" w:eastAsiaTheme="majorEastAsia" w:cstheme="majorBidi"/>
      <w:color w:val="0F4761" w:themeColor="accent1" w:themeTint="FF" w:themeShade="BF"/>
      <w:sz w:val="40"/>
      <w:szCs w:val="40"/>
      <w:lang w:eastAsia="en-US"/>
    </w:rPr>
    <w:pPr>
      <w:keepNext w:val="1"/>
      <w:keepLines w:val="1"/>
      <w:spacing w:before="360" w:after="80"/>
      <w:outlineLvl w:val="0"/>
    </w:pPr>
  </w:style>
  <w:style w:type="paragraph" w:styleId="Ttulo2">
    <w:uiPriority w:val="9"/>
    <w:name w:val="heading 2"/>
    <w:basedOn w:val="Normal"/>
    <w:next w:val="Normal"/>
    <w:semiHidden/>
    <w:unhideWhenUsed/>
    <w:link w:val="Ttulo2Car"/>
    <w:qFormat/>
    <w:rsid w:val="00525A93"/>
    <w:rPr>
      <w:rFonts w:ascii="Aptos Display" w:hAnsi="Aptos Display" w:eastAsia="" w:cs="" w:asciiTheme="majorAscii" w:hAnsiTheme="majorAscii" w:eastAsiaTheme="majorEastAsia" w:cstheme="majorBidi"/>
      <w:color w:val="0F4761" w:themeColor="accent1" w:themeTint="FF" w:themeShade="BF"/>
      <w:sz w:val="32"/>
      <w:szCs w:val="32"/>
      <w:lang w:eastAsia="en-US"/>
    </w:rPr>
    <w:pPr>
      <w:keepNext w:val="1"/>
      <w:keepLines w:val="1"/>
      <w:spacing w:before="160" w:after="80"/>
      <w:outlineLvl w:val="1"/>
    </w:pPr>
  </w:style>
  <w:style w:type="paragraph" w:styleId="Ttulo3">
    <w:uiPriority w:val="9"/>
    <w:name w:val="heading 3"/>
    <w:basedOn w:val="Normal"/>
    <w:next w:val="Normal"/>
    <w:semiHidden/>
    <w:unhideWhenUsed/>
    <w:link w:val="Ttulo3Car"/>
    <w:qFormat/>
    <w:rsid w:val="00525A93"/>
    <w:rPr>
      <w:rFonts w:ascii="Aptos" w:hAnsi="Aptos" w:eastAsia="" w:cs="" w:asciiTheme="minorAscii" w:hAnsiTheme="minorAscii" w:eastAsiaTheme="majorEastAsia" w:cstheme="majorBidi"/>
      <w:color w:val="0F4761" w:themeColor="accent1" w:themeTint="FF" w:themeShade="BF"/>
      <w:sz w:val="28"/>
      <w:szCs w:val="28"/>
      <w:lang w:eastAsia="en-US"/>
    </w:rPr>
    <w:pPr>
      <w:keepNext w:val="1"/>
      <w:keepLines w:val="1"/>
      <w:spacing w:before="160" w:after="80"/>
      <w:outlineLvl w:val="2"/>
    </w:pPr>
  </w:style>
  <w:style w:type="paragraph" w:styleId="Ttulo4">
    <w:uiPriority w:val="9"/>
    <w:name w:val="heading 4"/>
    <w:basedOn w:val="Normal"/>
    <w:next w:val="Normal"/>
    <w:semiHidden/>
    <w:unhideWhenUsed/>
    <w:link w:val="Ttulo4Car"/>
    <w:qFormat/>
    <w:rsid w:val="00525A93"/>
    <w:rPr>
      <w:rFonts w:ascii="Aptos" w:hAnsi="Aptos" w:eastAsia="" w:cs="" w:asciiTheme="minorAscii" w:hAnsiTheme="minorAscii" w:eastAsiaTheme="majorEastAsia" w:cstheme="majorBidi"/>
      <w:i w:val="1"/>
      <w:iCs w:val="1"/>
      <w:color w:val="0F4761" w:themeColor="accent1" w:themeTint="FF" w:themeShade="BF"/>
      <w:sz w:val="24"/>
      <w:szCs w:val="24"/>
      <w:lang w:eastAsia="en-US"/>
    </w:rPr>
    <w:pPr>
      <w:keepNext w:val="1"/>
      <w:keepLines w:val="1"/>
      <w:spacing w:before="80" w:after="40"/>
      <w:outlineLvl w:val="3"/>
    </w:pPr>
  </w:style>
  <w:style w:type="paragraph" w:styleId="Ttulo5">
    <w:uiPriority w:val="9"/>
    <w:name w:val="heading 5"/>
    <w:basedOn w:val="Normal"/>
    <w:next w:val="Normal"/>
    <w:semiHidden/>
    <w:unhideWhenUsed/>
    <w:link w:val="Ttulo5Car"/>
    <w:qFormat/>
    <w:rsid w:val="00525A93"/>
    <w:rPr>
      <w:rFonts w:ascii="Aptos" w:hAnsi="Aptos" w:eastAsia="" w:cs="" w:asciiTheme="minorAscii" w:hAnsiTheme="minorAscii" w:eastAsiaTheme="majorEastAsia" w:cstheme="majorBidi"/>
      <w:color w:val="0F4761" w:themeColor="accent1" w:themeTint="FF" w:themeShade="BF"/>
      <w:sz w:val="24"/>
      <w:szCs w:val="24"/>
      <w:lang w:eastAsia="en-US"/>
    </w:rPr>
    <w:pPr>
      <w:keepNext w:val="1"/>
      <w:keepLines w:val="1"/>
      <w:spacing w:before="80" w:after="40"/>
      <w:outlineLvl w:val="4"/>
    </w:pPr>
  </w:style>
  <w:style w:type="paragraph" w:styleId="Ttulo6">
    <w:uiPriority w:val="9"/>
    <w:name w:val="heading 6"/>
    <w:basedOn w:val="Normal"/>
    <w:next w:val="Normal"/>
    <w:semiHidden/>
    <w:unhideWhenUsed/>
    <w:link w:val="Ttulo6Car"/>
    <w:qFormat/>
    <w:rsid w:val="00525A93"/>
    <w:rPr>
      <w:rFonts w:ascii="Aptos" w:hAnsi="Aptos" w:eastAsia="" w:cs="" w:asciiTheme="minorAscii" w:hAnsiTheme="minorAscii" w:eastAsiaTheme="majorEastAsia" w:cstheme="majorBidi"/>
      <w:i w:val="1"/>
      <w:iCs w:val="1"/>
      <w:color w:val="595959" w:themeColor="text1" w:themeTint="A6" w:themeShade="FF"/>
      <w:sz w:val="24"/>
      <w:szCs w:val="24"/>
      <w:lang w:eastAsia="en-US"/>
    </w:rPr>
    <w:pPr>
      <w:keepNext w:val="1"/>
      <w:keepLines w:val="1"/>
      <w:spacing w:before="40"/>
      <w:outlineLvl w:val="5"/>
    </w:pPr>
  </w:style>
  <w:style w:type="paragraph" w:styleId="Ttulo7">
    <w:uiPriority w:val="9"/>
    <w:name w:val="heading 7"/>
    <w:basedOn w:val="Normal"/>
    <w:next w:val="Normal"/>
    <w:semiHidden/>
    <w:unhideWhenUsed/>
    <w:link w:val="Ttulo7Car"/>
    <w:qFormat/>
    <w:rsid w:val="00525A93"/>
    <w:rPr>
      <w:rFonts w:ascii="Aptos" w:hAnsi="Aptos" w:eastAsia="" w:cs="" w:asciiTheme="minorAscii" w:hAnsiTheme="minorAscii" w:eastAsiaTheme="majorEastAsia" w:cstheme="majorBidi"/>
      <w:color w:val="595959" w:themeColor="text1" w:themeTint="A6" w:themeShade="FF"/>
      <w:sz w:val="24"/>
      <w:szCs w:val="24"/>
      <w:lang w:eastAsia="en-US"/>
    </w:rPr>
    <w:pPr>
      <w:keepNext w:val="1"/>
      <w:keepLines w:val="1"/>
      <w:spacing w:before="40"/>
      <w:outlineLvl w:val="6"/>
    </w:pPr>
  </w:style>
  <w:style w:type="paragraph" w:styleId="Ttulo8">
    <w:uiPriority w:val="9"/>
    <w:name w:val="heading 8"/>
    <w:basedOn w:val="Normal"/>
    <w:next w:val="Normal"/>
    <w:semiHidden/>
    <w:unhideWhenUsed/>
    <w:link w:val="Ttulo8Car"/>
    <w:qFormat/>
    <w:rsid w:val="00525A93"/>
    <w:rPr>
      <w:rFonts w:ascii="Aptos" w:hAnsi="Aptos" w:eastAsia="" w:cs="" w:asciiTheme="minorAscii" w:hAnsiTheme="minorAscii" w:eastAsiaTheme="majorEastAsia" w:cstheme="majorBidi"/>
      <w:i w:val="1"/>
      <w:iCs w:val="1"/>
      <w:color w:val="272727"/>
      <w:sz w:val="24"/>
      <w:szCs w:val="24"/>
      <w:lang w:eastAsia="en-US"/>
    </w:rPr>
    <w:pPr>
      <w:keepNext w:val="1"/>
      <w:keepLines w:val="1"/>
      <w:outlineLvl w:val="7"/>
    </w:pPr>
  </w:style>
  <w:style w:type="paragraph" w:styleId="Ttulo9">
    <w:uiPriority w:val="9"/>
    <w:name w:val="heading 9"/>
    <w:basedOn w:val="Normal"/>
    <w:next w:val="Normal"/>
    <w:semiHidden/>
    <w:unhideWhenUsed/>
    <w:link w:val="Ttulo9Car"/>
    <w:qFormat/>
    <w:rsid w:val="00525A93"/>
    <w:rPr>
      <w:rFonts w:ascii="Aptos" w:hAnsi="Aptos" w:eastAsia="" w:cs="" w:asciiTheme="minorAscii" w:hAnsiTheme="minorAscii" w:eastAsiaTheme="majorEastAsia" w:cstheme="majorBidi"/>
      <w:color w:val="272727"/>
      <w:sz w:val="24"/>
      <w:szCs w:val="24"/>
      <w:lang w:eastAsia="en-US"/>
    </w:rPr>
    <w:pPr>
      <w:keepNext w:val="1"/>
      <w:keepLines w:val="1"/>
      <w:outlineLvl w:val="8"/>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9C2B5E"/>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9C2B5E"/>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9C2B5E"/>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9C2B5E"/>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9C2B5E"/>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9C2B5E"/>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9C2B5E"/>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9C2B5E"/>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9C2B5E"/>
    <w:rPr>
      <w:rFonts w:eastAsiaTheme="majorEastAsia" w:cstheme="majorBidi"/>
      <w:color w:val="272727" w:themeColor="text1" w:themeTint="D8"/>
    </w:rPr>
  </w:style>
  <w:style w:type="paragraph" w:styleId="Ttulo">
    <w:uiPriority w:val="10"/>
    <w:name w:val="Title"/>
    <w:basedOn w:val="Normal"/>
    <w:next w:val="Normal"/>
    <w:link w:val="TtuloCar"/>
    <w:qFormat/>
    <w:rsid w:val="00525A93"/>
    <w:rPr>
      <w:rFonts w:ascii="Aptos Display" w:hAnsi="Aptos Display" w:eastAsia="" w:cs="" w:asciiTheme="majorAscii" w:hAnsiTheme="majorAscii" w:eastAsiaTheme="majorEastAsia" w:cstheme="majorBidi"/>
      <w:color w:val="auto"/>
      <w:sz w:val="56"/>
      <w:szCs w:val="56"/>
      <w:lang w:eastAsia="en-US"/>
    </w:rPr>
    <w:pPr>
      <w:spacing w:after="80"/>
      <w:contextualSpacing/>
    </w:pPr>
  </w:style>
  <w:style w:type="character" w:styleId="TtuloCar" w:customStyle="1">
    <w:name w:val="Título Car"/>
    <w:basedOn w:val="Fuentedeprrafopredeter"/>
    <w:link w:val="Ttulo"/>
    <w:uiPriority w:val="10"/>
    <w:rsid w:val="009C2B5E"/>
    <w:rPr>
      <w:rFonts w:asciiTheme="majorHAnsi" w:hAnsiTheme="majorHAnsi" w:eastAsiaTheme="majorEastAsia" w:cstheme="majorBidi"/>
      <w:spacing w:val="-10"/>
      <w:kern w:val="28"/>
      <w:sz w:val="56"/>
      <w:szCs w:val="56"/>
    </w:rPr>
  </w:style>
  <w:style w:type="paragraph" w:styleId="Subttulo">
    <w:uiPriority w:val="11"/>
    <w:name w:val="Subtitle"/>
    <w:basedOn w:val="Normal"/>
    <w:next w:val="Normal"/>
    <w:link w:val="SubttuloCar"/>
    <w:qFormat/>
    <w:rsid w:val="00525A93"/>
    <w:rPr>
      <w:rFonts w:ascii="Aptos" w:hAnsi="Aptos" w:eastAsia="" w:cs="" w:asciiTheme="minorAscii" w:hAnsiTheme="minorAscii" w:eastAsiaTheme="majorEastAsia" w:cstheme="majorBidi"/>
      <w:color w:val="595959" w:themeColor="text1" w:themeTint="A6" w:themeShade="FF"/>
      <w:sz w:val="28"/>
      <w:szCs w:val="28"/>
      <w:lang w:eastAsia="en-US"/>
    </w:rPr>
    <w:pPr>
      <w:spacing w:after="160"/>
    </w:pPr>
  </w:style>
  <w:style w:type="character" w:styleId="SubttuloCar" w:customStyle="1">
    <w:name w:val="Subtítulo Car"/>
    <w:basedOn w:val="Fuentedeprrafopredeter"/>
    <w:link w:val="Subttulo"/>
    <w:uiPriority w:val="11"/>
    <w:rsid w:val="009C2B5E"/>
    <w:rPr>
      <w:rFonts w:eastAsiaTheme="majorEastAsia" w:cstheme="majorBidi"/>
      <w:color w:val="595959" w:themeColor="text1" w:themeTint="A6"/>
      <w:spacing w:val="15"/>
      <w:sz w:val="28"/>
      <w:szCs w:val="28"/>
    </w:rPr>
  </w:style>
  <w:style w:type="paragraph" w:styleId="Cita">
    <w:uiPriority w:val="29"/>
    <w:name w:val="Quote"/>
    <w:basedOn w:val="Normal"/>
    <w:next w:val="Normal"/>
    <w:link w:val="CitaCar"/>
    <w:qFormat/>
    <w:rsid w:val="00525A93"/>
    <w:rPr>
      <w:i w:val="1"/>
      <w:iCs w:val="1"/>
      <w:color w:val="404040" w:themeColor="text1" w:themeTint="BF" w:themeShade="FF"/>
      <w:sz w:val="24"/>
      <w:szCs w:val="24"/>
      <w:lang w:eastAsia="en-US"/>
    </w:rPr>
    <w:pPr>
      <w:spacing w:before="160" w:after="160"/>
      <w:jc w:val="center"/>
    </w:pPr>
  </w:style>
  <w:style w:type="character" w:styleId="CitaCar" w:customStyle="1">
    <w:name w:val="Cita Car"/>
    <w:basedOn w:val="Fuentedeprrafopredeter"/>
    <w:link w:val="Cita"/>
    <w:uiPriority w:val="29"/>
    <w:rsid w:val="009C2B5E"/>
    <w:rPr>
      <w:i/>
      <w:iCs/>
      <w:color w:val="404040" w:themeColor="text1" w:themeTint="BF"/>
    </w:rPr>
  </w:style>
  <w:style w:type="paragraph" w:styleId="Prrafodelista">
    <w:uiPriority w:val="34"/>
    <w:name w:val="List Paragraph"/>
    <w:basedOn w:val="Normal"/>
    <w:qFormat/>
    <w:rsid w:val="00525A93"/>
    <w:rPr>
      <w:color w:val="auto"/>
      <w:sz w:val="24"/>
      <w:szCs w:val="24"/>
      <w:lang w:eastAsia="en-US"/>
    </w:rPr>
    <w:pPr>
      <w:spacing w:after="160"/>
      <w:ind w:left="720"/>
      <w:contextualSpacing/>
    </w:pPr>
  </w:style>
  <w:style w:type="character" w:styleId="nfasisintenso">
    <w:name w:val="Intense Emphasis"/>
    <w:basedOn w:val="Fuentedeprrafopredeter"/>
    <w:uiPriority w:val="21"/>
    <w:qFormat/>
    <w:rsid w:val="009C2B5E"/>
    <w:rPr>
      <w:i/>
      <w:iCs/>
      <w:color w:val="0F4761" w:themeColor="accent1" w:themeShade="BF"/>
    </w:rPr>
  </w:style>
  <w:style w:type="paragraph" w:styleId="Citadestacada">
    <w:uiPriority w:val="30"/>
    <w:name w:val="Intense Quote"/>
    <w:basedOn w:val="Normal"/>
    <w:next w:val="Normal"/>
    <w:link w:val="CitadestacadaCar"/>
    <w:qFormat/>
    <w:rsid w:val="00525A93"/>
    <w:rPr>
      <w:i w:val="1"/>
      <w:iCs w:val="1"/>
      <w:color w:val="0F4761" w:themeColor="accent1" w:themeTint="FF" w:themeShade="BF"/>
      <w:sz w:val="24"/>
      <w:szCs w:val="24"/>
      <w:lang w:eastAsia="en-US"/>
    </w:rPr>
    <w:pPr>
      <w:pBdr>
        <w:top w:val="single" w:color="0F4761" w:themeColor="accent1" w:themeShade="BF" w:sz="4" w:space="10"/>
        <w:bottom w:val="single" w:color="0F4761" w:themeColor="accent1" w:themeShade="BF" w:sz="4" w:space="10"/>
      </w:pBdr>
      <w:spacing w:before="360" w:after="360"/>
      <w:ind w:left="864" w:right="864"/>
      <w:jc w:val="center"/>
    </w:pPr>
  </w:style>
  <w:style w:type="character" w:styleId="CitadestacadaCar" w:customStyle="1">
    <w:name w:val="Cita destacada Car"/>
    <w:basedOn w:val="Fuentedeprrafopredeter"/>
    <w:link w:val="Citadestacada"/>
    <w:uiPriority w:val="30"/>
    <w:rsid w:val="009C2B5E"/>
    <w:rPr>
      <w:i/>
      <w:iCs/>
      <w:color w:val="0F4761" w:themeColor="accent1" w:themeShade="BF"/>
    </w:rPr>
  </w:style>
  <w:style w:type="character" w:styleId="Referenciaintensa">
    <w:name w:val="Intense Reference"/>
    <w:basedOn w:val="Fuentedeprrafopredeter"/>
    <w:uiPriority w:val="32"/>
    <w:qFormat/>
    <w:rsid w:val="009C2B5E"/>
    <w:rPr>
      <w:b/>
      <w:bCs/>
      <w:smallCaps/>
      <w:color w:val="0F4761" w:themeColor="accent1" w:themeShade="BF"/>
      <w:spacing w:val="5"/>
    </w:rPr>
  </w:style>
  <w:style w:type="paragraph" w:styleId="Header">
    <w:uiPriority w:val="99"/>
    <w:name w:val="header"/>
    <w:basedOn w:val="Normal"/>
    <w:unhideWhenUsed/>
    <w:rsid w:val="00525A93"/>
    <w:pPr>
      <w:tabs>
        <w:tab w:val="center" w:leader="none" w:pos="4680"/>
        <w:tab w:val="right" w:leader="none" w:pos="9360"/>
      </w:tabs>
    </w:pPr>
  </w:style>
  <w:style w:type="paragraph" w:styleId="Footer">
    <w:uiPriority w:val="99"/>
    <w:name w:val="footer"/>
    <w:basedOn w:val="Normal"/>
    <w:unhideWhenUsed/>
    <w:rsid w:val="00525A93"/>
    <w:pPr>
      <w:tabs>
        <w:tab w:val="center" w:leader="none" w:pos="4680"/>
        <w:tab w:val="right" w:leader="none" w:pos="9360"/>
      </w:tabs>
    </w:pPr>
  </w:style>
  <w:style xmlns:w="http://schemas.openxmlformats.org/wordprocessingml/2006/main" w:type="table" w:styleId="TableGrid">
    <w:name xmlns:w="http://schemas.openxmlformats.org/wordprocessingml/2006/main" w:val="Table Grid"/>
    <w:basedOn xmlns:w="http://schemas.openxmlformats.org/wordprocessingml/2006/main" w:val="Tab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ade6d58853504a62" /><Relationship Type="http://schemas.openxmlformats.org/officeDocument/2006/relationships/footer" Target="footer.xml" Id="R00357fffc60b4a4a" /><Relationship Type="http://schemas.microsoft.com/office/2020/10/relationships/intelligence" Target="intelligence2.xml" Id="R6d039eed6b9344d3" /><Relationship Type="http://schemas.openxmlformats.org/officeDocument/2006/relationships/numbering" Target="numbering.xml" Id="Rf99782f2518a45fa"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3D6E82383C8B40A3094AFB3BA614FD" ma:contentTypeVersion="16" ma:contentTypeDescription="Create a new document." ma:contentTypeScope="" ma:versionID="6b77ee1a877a4fdda801f2fc8c48aefc">
  <xsd:schema xmlns:xsd="http://www.w3.org/2001/XMLSchema" xmlns:xs="http://www.w3.org/2001/XMLSchema" xmlns:p="http://schemas.microsoft.com/office/2006/metadata/properties" xmlns:ns2="9140daf3-b17c-4d0b-be2e-0a12b28659ba" xmlns:ns3="ea9ac20b-8dc5-49c1-a68a-30fc4d6930a1" targetNamespace="http://schemas.microsoft.com/office/2006/metadata/properties" ma:root="true" ma:fieldsID="e66a85ae37b3b90be51a06ebc4d6d996" ns2:_="" ns3:_="">
    <xsd:import namespace="9140daf3-b17c-4d0b-be2e-0a12b28659ba"/>
    <xsd:import namespace="ea9ac20b-8dc5-49c1-a68a-30fc4d6930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Fech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daf3-b17c-4d0b-be2e-0a12b2865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Fecha" ma:index="22" nillable="true" ma:displayName="Fecha" ma:format="DateOnly" ma:internalName="Fech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a9ac20b-8dc5-49c1-a68a-30fc4d6930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3d3110e-50f5-49a4-9188-280243a155a5}" ma:internalName="TaxCatchAll" ma:showField="CatchAllData" ma:web="ea9ac20b-8dc5-49c1-a68a-30fc4d6930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a9ac20b-8dc5-49c1-a68a-30fc4d6930a1" xsi:nil="true"/>
    <lcf76f155ced4ddcb4097134ff3c332f xmlns="9140daf3-b17c-4d0b-be2e-0a12b28659ba">
      <Terms xmlns="http://schemas.microsoft.com/office/infopath/2007/PartnerControls"/>
    </lcf76f155ced4ddcb4097134ff3c332f>
    <Fecha xmlns="9140daf3-b17c-4d0b-be2e-0a12b28659ba" xsi:nil="true"/>
  </documentManagement>
</p:properties>
</file>

<file path=customXml/itemProps1.xml><?xml version="1.0" encoding="utf-8"?>
<ds:datastoreItem xmlns:ds="http://schemas.openxmlformats.org/officeDocument/2006/customXml" ds:itemID="{5E3D862D-696F-416B-BF25-964FB1B910A2}"/>
</file>

<file path=customXml/itemProps2.xml><?xml version="1.0" encoding="utf-8"?>
<ds:datastoreItem xmlns:ds="http://schemas.openxmlformats.org/officeDocument/2006/customXml" ds:itemID="{B7DDE6AD-6FB5-4DE9-B4A9-F93EC4622962}"/>
</file>

<file path=customXml/itemProps3.xml><?xml version="1.0" encoding="utf-8"?>
<ds:datastoreItem xmlns:ds="http://schemas.openxmlformats.org/officeDocument/2006/customXml" ds:itemID="{25EF2FC3-5718-4F0C-9B86-225B418217A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Valentina Zapata Gasca</dc:creator>
  <cp:keywords/>
  <dc:description/>
  <cp:lastModifiedBy>LAURA VALENTINA ZAPATA GASCA</cp:lastModifiedBy>
  <cp:revision>3</cp:revision>
  <dcterms:created xsi:type="dcterms:W3CDTF">2026-06-19T20:52:00Z</dcterms:created>
  <dcterms:modified xsi:type="dcterms:W3CDTF">2026-06-19T22:32:51Z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0x010100FD3D6E82383C8B40A3094AFB3BA614FD</vt:lpwstr>
  </property>
  <property fmtid="{D5CDD505-2E9C-101B-9397-08002B2CF9AE}" pid="3" name="MediaServiceImageTags">
    <vt:lpwstr/>
  </property>
</Properties>
</file>